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3800" w14:textId="702BA971" w:rsidR="00E26A88" w:rsidRPr="006D337A" w:rsidRDefault="00E26A88" w:rsidP="00E26A8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D337A">
        <w:rPr>
          <w:b/>
          <w:noProof/>
        </w:rPr>
        <w:drawing>
          <wp:inline distT="0" distB="0" distL="0" distR="0" wp14:anchorId="5E14823D" wp14:editId="0498ACD9">
            <wp:extent cx="4572000" cy="2019300"/>
            <wp:effectExtent l="0" t="0" r="0" b="1270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803F" w14:textId="77777777" w:rsidR="00E26A88" w:rsidRPr="006D337A" w:rsidRDefault="00E26A88" w:rsidP="00E26A88">
      <w:pPr>
        <w:jc w:val="center"/>
        <w:rPr>
          <w:rFonts w:ascii="Times New Roman" w:eastAsia="Times New Roman" w:hAnsi="Times New Roman"/>
          <w:b/>
        </w:rPr>
      </w:pPr>
    </w:p>
    <w:p w14:paraId="06B5C569" w14:textId="77777777" w:rsidR="00E26A88" w:rsidRPr="006D337A" w:rsidRDefault="00E26A88" w:rsidP="00E26A88">
      <w:pPr>
        <w:jc w:val="center"/>
        <w:rPr>
          <w:rFonts w:ascii="Times New Roman" w:eastAsia="Times New Roman" w:hAnsi="Times New Roman"/>
          <w:b/>
        </w:rPr>
      </w:pPr>
    </w:p>
    <w:p w14:paraId="1B0ED6AD" w14:textId="547DBE2E" w:rsidR="009F11C0" w:rsidRPr="006D337A" w:rsidRDefault="009F11C0" w:rsidP="001A6C4D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Summary of </w:t>
      </w:r>
      <w:r w:rsidR="00A041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Constitutional </w:t>
      </w:r>
      <w:r w:rsidR="00E26A88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>Barriers</w:t>
      </w:r>
      <w:r w:rsidR="00A041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 to</w:t>
      </w:r>
      <w:r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 </w:t>
      </w:r>
      <w:r w:rsidR="00A041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>an Illinois School Voucher Program</w:t>
      </w:r>
    </w:p>
    <w:p w14:paraId="515C1A89" w14:textId="77777777" w:rsidR="001A6C4D" w:rsidRPr="006D337A" w:rsidRDefault="001A6C4D" w:rsidP="001A6C4D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14:paraId="5572D927" w14:textId="6B70F84F" w:rsidR="001A6C4D" w:rsidRPr="006D337A" w:rsidRDefault="00CF1373" w:rsidP="001A6C4D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Dr. </w:t>
      </w:r>
      <w:r w:rsidR="00505196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Alicia Haller </w:t>
      </w:r>
      <w:r w:rsidR="001A6C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and </w:t>
      </w:r>
      <w:r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Dr. </w:t>
      </w:r>
      <w:r w:rsidR="001A6C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Erika </w:t>
      </w:r>
      <w:r w:rsidR="00505196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Hunt </w:t>
      </w:r>
      <w:r w:rsidR="001A6C4D" w:rsidRPr="006D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>– February 2017</w:t>
      </w:r>
    </w:p>
    <w:p w14:paraId="76F5DE3F" w14:textId="77777777" w:rsidR="001A6C4D" w:rsidRPr="006D337A" w:rsidRDefault="001A6C4D" w:rsidP="001A6C4D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</w:p>
    <w:p w14:paraId="234E5C9A" w14:textId="77777777" w:rsidR="009F11C0" w:rsidRPr="006D337A" w:rsidRDefault="009F11C0" w:rsidP="009859F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14:paraId="10434ACD" w14:textId="4A052C5A" w:rsidR="009F11C0" w:rsidRPr="006D337A" w:rsidRDefault="009F11C0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According to Private School Review, 284,245 students in Illinois attend private schools and there are 1,732 private schools </w:t>
      </w:r>
      <w:r w:rsidR="00CF1373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located throughout </w:t>
      </w:r>
      <w:r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the state.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 </w:t>
      </w:r>
      <w:r w:rsidR="00CF1373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The</w:t>
      </w:r>
      <w:r w:rsidR="001A6C4D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vast majority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of private schools </w:t>
      </w:r>
      <w:r w:rsidR="00CF1373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in Illinois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are religiously affiliated.  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Nationally,</w:t>
      </w:r>
      <w:r w:rsidR="00D329F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C4D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12 </w:t>
      </w:r>
      <w:r w:rsidR="00CF1373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states in the US </w:t>
      </w:r>
      <w:r w:rsidR="00D329F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have some form of voucher program that provide</w:t>
      </w:r>
      <w:r w:rsidR="001A6C4D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329F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public funds for students whose parents choose to send them to private schools. </w:t>
      </w:r>
      <w:r w:rsidR="00D329FB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Currently, t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here are no laws 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or regulations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barring the 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Illinois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General Assembly, I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llinois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S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tate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B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oard of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E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ducation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, 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or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a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ny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county, city, town, or district from establishing a voucher program 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that would fund tuition to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BFCFC"/>
        </w:rPr>
        <w:t>non-religious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institutions.  However, there are substantial state constitutional barrie</w:t>
      </w:r>
      <w:r w:rsidR="001A6C4D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rs for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1A6C4D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providing vouchers to religiously affiliated 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schools</w:t>
      </w:r>
      <w:r w:rsidR="00D329FB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in Illinois</w:t>
      </w:r>
      <w:r w:rsidR="003C3949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</w:t>
      </w:r>
    </w:p>
    <w:p w14:paraId="00995F90" w14:textId="72093BE4" w:rsidR="003C3949" w:rsidRPr="006D337A" w:rsidRDefault="009F11C0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6D337A">
        <w:rPr>
          <w:color w:val="000000" w:themeColor="text1"/>
          <w:sz w:val="24"/>
          <w:szCs w:val="24"/>
        </w:rPr>
        <w:br/>
      </w:r>
      <w:r w:rsidR="009859F2" w:rsidRPr="006D33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In the 1980s, the U.S. Supreme Court ruled that a state program to reimburse low-income parents for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parochi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al school tuition violated the Establishment Clause of the First Amendment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, which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prohibits government from advancing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any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religion. The Illinois Supreme Court 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had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previously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struck down a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tuition voucher program for parents for similar reasons. In both cases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, 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it made no difference that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government funds went to the parents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/students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r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ather than the religious school.  The courts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deemed 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those voucher programs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unconstitutional because 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they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provided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an overly-broad level of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financial support for religious ins</w:t>
      </w:r>
      <w:r w:rsidR="00555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titutions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</w:t>
      </w:r>
    </w:p>
    <w:p w14:paraId="16F3B68F" w14:textId="77777777" w:rsidR="003C3949" w:rsidRPr="006D337A" w:rsidRDefault="003C3949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</w:p>
    <w:p w14:paraId="1548AD37" w14:textId="1E1301E2" w:rsidR="00582E4B" w:rsidRPr="006D337A" w:rsidRDefault="007F6384" w:rsidP="00582E4B">
      <w:pPr>
        <w:spacing w:line="30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In 2002, r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evisiting the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constitutionality of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voucher programs,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U.S. Supreme Court upheld a lower court ruling on Ohio’s Cleveland Scholarship Program (Zelman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v. 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Simmons-Harris, 536 U.S. 639). In that case, t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court found that the program was narrow enough in scope to be allowable under the US Constitution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50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Through Zelman, t</w:t>
      </w:r>
      <w:r w:rsidR="00C50A33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he 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U.S. Supreme Court </w:t>
      </w:r>
      <w:r w:rsidR="00C50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established that voucher 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programs</w:t>
      </w:r>
      <w:r w:rsidR="00C50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provide public funding to 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religious schools </w:t>
      </w:r>
      <w:r w:rsidR="00C50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not violate the Establishment Clause, 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so long as such education program is religiously neutral and based on true private choice</w:t>
      </w:r>
      <w:r w:rsidR="00C50A3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Zelman sets the standards that all school choice programs must meet to comply with the First Amendment’s Establishment Clause.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In fact, </w:t>
      </w:r>
      <w:r w:rsidR="00C50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policy makers</w:t>
      </w:r>
      <w:r w:rsidR="00582E4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 Milwaukee, </w:t>
      </w:r>
      <w:r w:rsidR="00582E4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Washington D.C., and others have relied on the federal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Zelman v. Simmons-Harris</w:t>
      </w:r>
      <w:r w:rsidR="00582E4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ruling </w:t>
      </w:r>
      <w:r w:rsidR="00C50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 the design and/or revision of their voucher programs</w:t>
      </w:r>
      <w:r w:rsidR="00582E4B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51DD0AFD" w14:textId="77777777" w:rsidR="00C50A33" w:rsidRDefault="00C50A33" w:rsidP="009F11C0">
      <w:pPr>
        <w:spacing w:line="30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AF5BFA" w14:textId="19CEFC42" w:rsidR="009859F2" w:rsidRPr="006D337A" w:rsidRDefault="00C50A33" w:rsidP="009F11C0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US Supreme Court ruling is not the only consideration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the establishment of a legal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voucher program in Illinois.  Regardless of whether or not a school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removes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religious education component from their program,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publicly-funded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tuition vouchers/scholarship pro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grams have been determined by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Illinois court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ultimately support the religious organizations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which they operate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Therefore, e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ven though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the U.S. Supreme Court allows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for a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more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nuanced interpretation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of the </w:t>
      </w:r>
      <w:r w:rsidR="003C394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Establishment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Clause</w:t>
      </w:r>
      <w:r w:rsidR="00CF1373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regard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ing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public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funding for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religiously affiliated schools, 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a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school voucher pro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gram in Illinois c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ould still 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run afoul of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clear language in Articles I § 3 and X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of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Illinois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C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onstitut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ion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, which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provide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:</w:t>
      </w:r>
    </w:p>
    <w:p w14:paraId="4868447F" w14:textId="77777777" w:rsidR="00AD4B5A" w:rsidRPr="006D337A" w:rsidRDefault="00AD4B5A" w:rsidP="00AD4B5A">
      <w:pPr>
        <w:spacing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18A6F2" w14:textId="77777777" w:rsidR="00AD4B5A" w:rsidRPr="006D337A" w:rsidRDefault="00AD4B5A" w:rsidP="00582E4B">
      <w:pPr>
        <w:spacing w:line="300" w:lineRule="atLeast"/>
        <w:ind w:left="720" w:righ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ARTICLE I – Section 3 - The Compelled Support Clause, </w:t>
      </w:r>
      <w:r w:rsidRPr="006D337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states</w:t>
      </w:r>
      <w:r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“</w:t>
      </w:r>
      <w:r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 person shall be required to attend or support any ministry or place of worship against his consent…”</w:t>
      </w:r>
    </w:p>
    <w:p w14:paraId="43C97C2A" w14:textId="4F224453" w:rsidR="009F11C0" w:rsidRPr="006D337A" w:rsidRDefault="004924BD" w:rsidP="00582E4B">
      <w:pPr>
        <w:shd w:val="clear" w:color="auto" w:fill="FFFFFF"/>
        <w:spacing w:before="100" w:beforeAutospacing="1" w:after="100" w:afterAutospacing="1"/>
        <w:ind w:left="720" w:right="720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ARTICLE X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- Section 3 - the Blaine Amendment, </w:t>
      </w:r>
      <w:r w:rsidR="009F11C0" w:rsidRPr="006D337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s</w:t>
      </w:r>
      <w:r w:rsidR="00AD4B5A" w:rsidRPr="006D337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tates “P</w:t>
      </w:r>
      <w:r w:rsidR="006D337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UBLIC FUNDS FOR SECTARIAN PURPOSE FORBIDDEN 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Neither the General Assembly nor any county, city, town,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township, school district, or other public corporation, shall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ever make any appropriation or pay from any public fund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whatever, anything in aid of any church or sectarian purpose,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 to help support or sustain any school, academy, seminary,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college, university, or other literary or scientific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institution, controlled by any church or sectarian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denomination whatever; nor shall any grant or donation of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land, money, or other personal property ever be made by the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State, or any such public corporation, to any church, or for</w:t>
      </w:r>
      <w:r w:rsidR="009F11C0" w:rsidRPr="006D337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9859F2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any sectarian purpose.</w:t>
      </w:r>
      <w:r w:rsidR="00AD4B5A" w:rsidRPr="006D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7455FF9A" w14:textId="170AACD5" w:rsidR="007F6384" w:rsidRPr="006D337A" w:rsidRDefault="00FD3E00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argument could be made that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Article I, Section 3 implies that voucher program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unconstitutional because </w:t>
      </w:r>
      <w:r w:rsidR="004924BD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taxpayer</w:t>
      </w:r>
      <w:r w:rsidR="004924BD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 can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compelled to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their tax dollars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used t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924BD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a religious institution.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that </w:t>
      </w:r>
      <w:r w:rsidR="00B5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vague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language alone was likely not sufficient</w:t>
      </w:r>
      <w:r w:rsidR="00B5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determine a ruling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, as</w:t>
      </w:r>
      <w:r w:rsidR="00B5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interpretations of what constitutes “support” or “consent” could vary greatly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combination of Article I, Section 3 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Article X, Section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formed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basis for the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Illinois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Supreme C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ourt’s decision to bar</w:t>
      </w:r>
      <w:r w:rsidR="00B5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054"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unrestricted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funds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B567A3">
        <w:rPr>
          <w:rFonts w:ascii="Times New Roman" w:hAnsi="Times New Roman" w:cs="Times New Roman"/>
          <w:color w:val="000000" w:themeColor="text1"/>
          <w:sz w:val="24"/>
          <w:szCs w:val="24"/>
        </w:rPr>
        <w:t>allocation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religious schools in Illinois.</w:t>
      </w:r>
      <w:r w:rsidR="009F11C0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36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Restricted vs. unrestricted funding was</w:t>
      </w:r>
      <w:r w:rsidR="001F0054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an important distinction</w:t>
      </w:r>
      <w:r w:rsidR="000F436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drawn</w:t>
      </w:r>
      <w:r w:rsidR="000F436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by </w:t>
      </w:r>
      <w:r w:rsidR="007F6384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Court</w:t>
      </w:r>
      <w:r w:rsidR="001F0054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859F2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because </w:t>
      </w:r>
      <w:r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there was</w:t>
      </w:r>
      <w:r w:rsidR="001F0054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some prece</w:t>
      </w:r>
      <w:r w:rsidR="004F0A5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dent for funds </w:t>
      </w:r>
      <w:r w:rsidR="000F436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being allocated</w:t>
      </w:r>
      <w:r w:rsidR="004F0A57" w:rsidRPr="006D3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religious schools in Illinois.  For example,</w:t>
      </w:r>
      <w:r w:rsidR="004F0A57" w:rsidRPr="006D3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Illinois Supreme Court has only found that </w:t>
      </w:r>
      <w:r w:rsidR="001F0054"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unrestricted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payments of public funds to religious schools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form of tuition vouchers/scholarships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unconstitutional</w:t>
      </w:r>
      <w:r w:rsidR="007F638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asserting that those funds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ultimately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serve to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benefit the religious institution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whole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Due to the unrestricted nature of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tuition, it actually serves to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subsidize costs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the operation of the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religious organization (e.g.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tuition dollars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used to support facilities</w:t>
      </w:r>
      <w:proofErr w:type="gramStart"/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maintenance</w:t>
      </w:r>
      <w:proofErr w:type="gramEnd"/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operational costs, administration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etc. that cannot be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considered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exclusive to the use of the secular or academic school component).  In other words, even if a religious school eliminates the religious education component, public funding 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the form of tuition vouchers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would still be viewed as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supporting the </w:t>
      </w:r>
      <w:r w:rsidR="007F6384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religious organization.</w:t>
      </w:r>
    </w:p>
    <w:p w14:paraId="638A110B" w14:textId="77777777" w:rsidR="007F6384" w:rsidRPr="006D337A" w:rsidRDefault="007F6384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D2077" w14:textId="1D9C1A7C" w:rsidR="009859F2" w:rsidRPr="006D337A" w:rsidRDefault="00A4280D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unrestricted nature of tuition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different from 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statute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provided</w:t>
      </w:r>
      <w:r w:rsidR="00582E4B"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restricted</w:t>
      </w:r>
      <w:r w:rsidR="00582E4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for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the transportation of private school students at public expense and the use of public funds to pay for textbooks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nursing services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in religious schools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understanding that only </w:t>
      </w:r>
      <w:r w:rsidRPr="00FB2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unrestricted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funds are barred from allocation to religious institutions was reinforced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courts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decisions involving tuition tax credits. 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</w:rPr>
        <w:t>Recently, t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 Illinois teachers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unions separately challenged the constitutionality of an Illinois tax credit program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tuition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private schools and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/or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out-of-district publi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 schools. Two trial courts and 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Illinois C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ourt</w:t>
      </w:r>
      <w:r w:rsidR="00FB22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of A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ppeal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upheld the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tax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credit program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citing it constitutional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under both the federal Establishment Clause and the Illinois</w:t>
      </w:r>
      <w:r w:rsidR="004F0A57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Constitution’s Religion C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lause. Further, the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Illinois Supreme Court denied </w:t>
      </w:r>
      <w:r w:rsidR="00AD4B5A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appea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ls on those rulings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647A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Toney v. Bower, 2001; 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Griffith v. Bower, </w:t>
      </w:r>
      <w:r w:rsidR="00C647A9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2001</w:t>
      </w:r>
      <w:r w:rsidR="00FD3E00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859F2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F0A57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3C33A77" w14:textId="77777777" w:rsidR="004F0A57" w:rsidRPr="006D337A" w:rsidRDefault="004F0A57" w:rsidP="009859F2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9FAF31" w14:textId="1E17726D" w:rsidR="004F0A57" w:rsidRPr="006D337A" w:rsidRDefault="00AA083B" w:rsidP="004F0A57">
      <w:pPr>
        <w:spacing w:line="30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Therefore,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tate of Illinois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only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4F0A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rovided </w:t>
      </w:r>
      <w:r w:rsidR="00067F61" w:rsidRPr="00FB223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restricted</w:t>
      </w:r>
      <w:r w:rsidR="00067F61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0A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funds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support student in 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religious </w:t>
      </w:r>
      <w:r w:rsidR="00FB22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schools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Those funds have been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targeted toward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very specific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allowable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goods and services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F0A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secular in nature and do not support the religious organization overall (</w:t>
      </w:r>
      <w:r w:rsidR="004F0A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e.g.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secular </w:t>
      </w:r>
      <w:r w:rsidR="004F0A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text books, tr</w:t>
      </w:r>
      <w:r w:rsidR="00A4280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ansportation, special education </w:t>
      </w:r>
      <w:r w:rsidR="00E51657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accommodations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tax credit for tuition, etc.)</w:t>
      </w:r>
      <w:r w:rsidR="00C751FD" w:rsidRPr="006D33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410BFEC" w14:textId="77777777" w:rsidR="00C751FD" w:rsidRPr="006D337A" w:rsidRDefault="00C751FD" w:rsidP="004F0A57">
      <w:pPr>
        <w:spacing w:line="30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9F8167" w14:textId="4BE271F4" w:rsidR="00C751FD" w:rsidRPr="006D337A" w:rsidRDefault="003C16E7" w:rsidP="003C16E7">
      <w:pPr>
        <w:pStyle w:val="Default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Illinois </w:t>
      </w:r>
      <w:r w:rsidR="00C751F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Governor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751F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Bruce </w:t>
      </w:r>
      <w:r w:rsidR="00C751F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Rauner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751F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has publicly supported </w:t>
      </w:r>
      <w:r w:rsidR="00E51657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reform efforts aimed at school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choice.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Stressing the need to provide equitable educational opportunities for all student throughout Illinois, </w:t>
      </w:r>
      <w:r w:rsidR="00E51657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in 2016 </w:t>
      </w:r>
      <w:r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the Governor created the Illinois School Funding Reform Commission.  The bipartisan/bicameral Commission </w:t>
      </w:r>
      <w:r w:rsidR="00DB301D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was charged with developing an equitable school funding system for the state.</w:t>
      </w:r>
      <w:r w:rsidR="00DB301D" w:rsidRPr="006D337A">
        <w:rPr>
          <w:color w:val="000000" w:themeColor="text1"/>
        </w:rPr>
        <w:t xml:space="preserve"> </w:t>
      </w:r>
      <w:r w:rsidR="00FE63AC" w:rsidRPr="006D337A">
        <w:rPr>
          <w:rFonts w:ascii="Times New Roman" w:hAnsi="Times New Roman" w:cs="Times New Roman"/>
          <w:color w:val="000000" w:themeColor="text1"/>
        </w:rPr>
        <w:t xml:space="preserve">It is important to note that the Commission’s final report, released in 2017, contains </w:t>
      </w:r>
      <w:r w:rsidR="00E51657" w:rsidRPr="006D337A">
        <w:rPr>
          <w:rFonts w:ascii="Times New Roman" w:hAnsi="Times New Roman" w:cs="Times New Roman"/>
          <w:color w:val="000000" w:themeColor="text1"/>
        </w:rPr>
        <w:t xml:space="preserve">no reference to tuition vouchers. </w:t>
      </w:r>
      <w:r w:rsidR="00FE63AC" w:rsidRPr="006D337A">
        <w:rPr>
          <w:rFonts w:ascii="Times New Roman" w:hAnsi="Times New Roman" w:cs="Times New Roman"/>
          <w:color w:val="000000" w:themeColor="text1"/>
        </w:rPr>
        <w:t>In fact, t</w:t>
      </w:r>
      <w:r w:rsidR="00E51657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he only reference to </w:t>
      </w:r>
      <w:r w:rsidR="00FE63AC" w:rsidRPr="006D337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school choice is listed under the heading “Outstanding Issues Requiring Resolution.” It states “</w:t>
      </w:r>
      <w:r w:rsidR="00FE63AC" w:rsidRPr="006D337A">
        <w:rPr>
          <w:rFonts w:ascii="Times New Roman" w:hAnsi="Times New Roman" w:cs="Times New Roman"/>
          <w:color w:val="000000" w:themeColor="text1"/>
        </w:rPr>
        <w:t xml:space="preserve">Governor Rauner and some members of the Commission support the availability of school choice tax credits for individuals or corporations donating money to fund scholarships for low-income students, as long as those schools are nonprofit and the accepting school publishes accountability data equivalent to what is required for public schools.”  It is unclear from the </w:t>
      </w:r>
      <w:r w:rsidR="006D337A" w:rsidRPr="006D337A">
        <w:rPr>
          <w:rFonts w:ascii="Times New Roman" w:hAnsi="Times New Roman" w:cs="Times New Roman"/>
          <w:color w:val="000000" w:themeColor="text1"/>
        </w:rPr>
        <w:t xml:space="preserve">Commission’s </w:t>
      </w:r>
      <w:r w:rsidR="00FE63AC" w:rsidRPr="006D337A">
        <w:rPr>
          <w:rFonts w:ascii="Times New Roman" w:hAnsi="Times New Roman" w:cs="Times New Roman"/>
          <w:color w:val="000000" w:themeColor="text1"/>
        </w:rPr>
        <w:t xml:space="preserve">report </w:t>
      </w:r>
      <w:r w:rsidR="0072183E" w:rsidRPr="006D337A">
        <w:rPr>
          <w:rFonts w:ascii="Times New Roman" w:hAnsi="Times New Roman" w:cs="Times New Roman"/>
          <w:color w:val="000000" w:themeColor="text1"/>
        </w:rPr>
        <w:t xml:space="preserve">what </w:t>
      </w:r>
      <w:r w:rsidR="00FE63AC" w:rsidRPr="006D337A">
        <w:rPr>
          <w:rFonts w:ascii="Times New Roman" w:hAnsi="Times New Roman" w:cs="Times New Roman"/>
          <w:color w:val="000000" w:themeColor="text1"/>
        </w:rPr>
        <w:t xml:space="preserve">the </w:t>
      </w:r>
      <w:r w:rsidR="0072183E" w:rsidRPr="006D337A">
        <w:rPr>
          <w:rFonts w:ascii="Times New Roman" w:hAnsi="Times New Roman" w:cs="Times New Roman"/>
          <w:color w:val="000000" w:themeColor="text1"/>
        </w:rPr>
        <w:t>anticipated revenue loss would be from the envisioned tax exemption involved, or what the impact wou</w:t>
      </w:r>
      <w:r w:rsidR="006D337A" w:rsidRPr="006D337A">
        <w:rPr>
          <w:rFonts w:ascii="Times New Roman" w:hAnsi="Times New Roman" w:cs="Times New Roman"/>
          <w:color w:val="000000" w:themeColor="text1"/>
        </w:rPr>
        <w:t>ld be to state funding for</w:t>
      </w:r>
      <w:r w:rsidR="0072183E" w:rsidRPr="006D337A">
        <w:rPr>
          <w:rFonts w:ascii="Times New Roman" w:hAnsi="Times New Roman" w:cs="Times New Roman"/>
          <w:color w:val="000000" w:themeColor="text1"/>
        </w:rPr>
        <w:t xml:space="preserve"> education in Illinois.</w:t>
      </w:r>
    </w:p>
    <w:p w14:paraId="2F33F687" w14:textId="77777777" w:rsidR="004F0A57" w:rsidRPr="006D337A" w:rsidRDefault="004F0A57" w:rsidP="004F0A57">
      <w:pPr>
        <w:spacing w:line="30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857607" w14:textId="77777777" w:rsidR="001F0054" w:rsidRPr="006D337A" w:rsidRDefault="00DB301D" w:rsidP="004F0A57">
      <w:pPr>
        <w:spacing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OTHER </w:t>
      </w:r>
      <w:r w:rsidR="004F0A57" w:rsidRPr="006D3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RELEVANT </w:t>
      </w:r>
      <w:r w:rsidRPr="006D3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ILLINOIS </w:t>
      </w:r>
      <w:r w:rsidR="004F0A57" w:rsidRPr="006D3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CASE LAW </w:t>
      </w:r>
    </w:p>
    <w:p w14:paraId="560DD457" w14:textId="77777777" w:rsidR="001F0054" w:rsidRPr="006D337A" w:rsidRDefault="004F0A57" w:rsidP="004F0A57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Board of Education v. Bakalis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(Ill. 1973) An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Illinois S</w:t>
      </w:r>
      <w:r w:rsidR="0008458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upreme Court case involving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a statute requiring public school buses to transport private school students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court ruled that </w:t>
      </w:r>
      <w:r w:rsidR="0008458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the statute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violate 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 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X 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of the Illinois constitution because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statute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intended and implemented as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health-and-safety measure 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that benefited all students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97F9BA" w14:textId="77777777" w:rsidR="001F0054" w:rsidRPr="006D337A" w:rsidRDefault="001F0054" w:rsidP="004F0A57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43288" w14:textId="77777777" w:rsidR="004F0A57" w:rsidRPr="006D337A" w:rsidRDefault="004F0A57" w:rsidP="004F0A57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People ex rel. Klinger v. Howlett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(Ill. 1973) The Illinois Supreme Court 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involving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tuition </w:t>
      </w:r>
      <w:r w:rsidR="00D329F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vouchers/grants to religious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schools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. The court ruled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unrestricted public funds provided to religious organizations could ultimately subsidize religious services. 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subsidization would violate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X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of the Illinois Constitution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 the program was found unconstitutional.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court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opened the door for restricted, targeted funding that did not support 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the religious organization.  In fact, the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court determined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state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ould not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treat p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rivate school s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tudents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differently than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school students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with respect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F4367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things as </w:t>
      </w:r>
      <w:r w:rsidR="00AA083B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secular 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textbooks, </w:t>
      </w:r>
      <w:r w:rsidR="001F0054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nursing services</w:t>
      </w:r>
      <w:r w:rsidR="00003B2C" w:rsidRPr="006D337A">
        <w:rPr>
          <w:rFonts w:ascii="Times New Roman" w:hAnsi="Times New Roman" w:cs="Times New Roman"/>
          <w:color w:val="000000" w:themeColor="text1"/>
          <w:sz w:val="24"/>
          <w:szCs w:val="24"/>
        </w:rPr>
        <w:t>, etc.</w:t>
      </w:r>
    </w:p>
    <w:p w14:paraId="79235CDA" w14:textId="77777777" w:rsidR="001F0054" w:rsidRPr="006D337A" w:rsidRDefault="001F0054" w:rsidP="004F0A57">
      <w:pPr>
        <w:spacing w:line="300" w:lineRule="atLeast"/>
        <w:rPr>
          <w:color w:val="000000" w:themeColor="text1"/>
          <w:sz w:val="24"/>
          <w:szCs w:val="24"/>
        </w:rPr>
      </w:pPr>
    </w:p>
    <w:p w14:paraId="1A913ABD" w14:textId="71321A7B" w:rsidR="00084584" w:rsidRPr="006D337A" w:rsidRDefault="00084584" w:rsidP="004F0A57">
      <w:pPr>
        <w:spacing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MECHANISMS TO CHANGE THE ILLINOIS CONSTITUTION</w:t>
      </w:r>
    </w:p>
    <w:p w14:paraId="508716DD" w14:textId="2A2EE0F6" w:rsidR="00084584" w:rsidRPr="006D337A" w:rsidRDefault="00084584" w:rsidP="00084584">
      <w:pPr>
        <w:pStyle w:val="NormalWeb"/>
        <w:shd w:val="clear" w:color="auto" w:fill="FBFCFC"/>
        <w:spacing w:before="0" w:beforeAutospacing="0" w:after="150" w:afterAutospacing="0" w:line="300" w:lineRule="atLeast"/>
        <w:rPr>
          <w:color w:val="000000" w:themeColor="text1"/>
        </w:rPr>
      </w:pPr>
      <w:r w:rsidRPr="006D337A">
        <w:rPr>
          <w:color w:val="000000" w:themeColor="text1"/>
        </w:rPr>
        <w:t xml:space="preserve">There are </w:t>
      </w:r>
      <w:r w:rsidR="001A6C4D" w:rsidRPr="006D337A">
        <w:rPr>
          <w:color w:val="000000" w:themeColor="text1"/>
        </w:rPr>
        <w:t xml:space="preserve">currently only </w:t>
      </w:r>
      <w:r w:rsidRPr="006D337A">
        <w:rPr>
          <w:color w:val="000000" w:themeColor="text1"/>
        </w:rPr>
        <w:t xml:space="preserve">three ways </w:t>
      </w:r>
      <w:r w:rsidR="00003B2C" w:rsidRPr="006D337A">
        <w:rPr>
          <w:color w:val="000000" w:themeColor="text1"/>
        </w:rPr>
        <w:t xml:space="preserve">in which </w:t>
      </w:r>
      <w:r w:rsidRPr="006D337A">
        <w:rPr>
          <w:color w:val="000000" w:themeColor="text1"/>
        </w:rPr>
        <w:t>the Illinois Constitution can be amended/modified:</w:t>
      </w:r>
    </w:p>
    <w:p w14:paraId="6984EA95" w14:textId="77777777" w:rsidR="00084584" w:rsidRPr="006D337A" w:rsidRDefault="00084584" w:rsidP="00084584">
      <w:pPr>
        <w:pStyle w:val="NormalWeb"/>
        <w:numPr>
          <w:ilvl w:val="0"/>
          <w:numId w:val="1"/>
        </w:numPr>
        <w:shd w:val="clear" w:color="auto" w:fill="FBFCFC"/>
        <w:spacing w:before="0" w:beforeAutospacing="0" w:after="150" w:afterAutospacing="0" w:line="300" w:lineRule="atLeast"/>
        <w:rPr>
          <w:color w:val="000000" w:themeColor="text1"/>
        </w:rPr>
      </w:pPr>
      <w:r w:rsidRPr="006D337A">
        <w:rPr>
          <w:color w:val="000000" w:themeColor="text1"/>
        </w:rPr>
        <w:t>by a constitutional convention with changes submitted to the voters,</w:t>
      </w:r>
    </w:p>
    <w:p w14:paraId="2B284F37" w14:textId="77777777" w:rsidR="00084584" w:rsidRPr="006D337A" w:rsidRDefault="00084584" w:rsidP="00084584">
      <w:pPr>
        <w:pStyle w:val="NormalWeb"/>
        <w:numPr>
          <w:ilvl w:val="0"/>
          <w:numId w:val="1"/>
        </w:numPr>
        <w:shd w:val="clear" w:color="auto" w:fill="FBFCFC"/>
        <w:spacing w:before="0" w:beforeAutospacing="0" w:after="150" w:afterAutospacing="0" w:line="300" w:lineRule="atLeast"/>
        <w:rPr>
          <w:color w:val="000000" w:themeColor="text1"/>
        </w:rPr>
      </w:pPr>
      <w:r w:rsidRPr="006D337A">
        <w:rPr>
          <w:color w:val="000000" w:themeColor="text1"/>
        </w:rPr>
        <w:t xml:space="preserve"> by amendments approved by the General Assembly and submitted to the voters, or</w:t>
      </w:r>
    </w:p>
    <w:p w14:paraId="4473B8D6" w14:textId="77777777" w:rsidR="00084584" w:rsidRPr="006D337A" w:rsidRDefault="00084584" w:rsidP="00084584">
      <w:pPr>
        <w:pStyle w:val="NormalWeb"/>
        <w:numPr>
          <w:ilvl w:val="0"/>
          <w:numId w:val="1"/>
        </w:numPr>
        <w:shd w:val="clear" w:color="auto" w:fill="FBFCFC"/>
        <w:spacing w:before="0" w:beforeAutospacing="0" w:after="150" w:afterAutospacing="0" w:line="300" w:lineRule="atLeast"/>
        <w:rPr>
          <w:color w:val="000000" w:themeColor="text1"/>
        </w:rPr>
      </w:pPr>
      <w:r w:rsidRPr="006D337A">
        <w:rPr>
          <w:color w:val="000000" w:themeColor="text1"/>
        </w:rPr>
        <w:t xml:space="preserve"> by petition initiated by the people limited to the structure and procedures of the Legislature and submitted to the voters. </w:t>
      </w:r>
    </w:p>
    <w:p w14:paraId="439251AF" w14:textId="1D991E11" w:rsidR="004F0A57" w:rsidRPr="006D337A" w:rsidRDefault="00084584" w:rsidP="001A6C4D">
      <w:pPr>
        <w:pStyle w:val="NormalWeb"/>
        <w:shd w:val="clear" w:color="auto" w:fill="FBFCFC"/>
        <w:spacing w:before="0" w:beforeAutospacing="0" w:after="150" w:afterAutospacing="0" w:line="300" w:lineRule="atLeast"/>
        <w:rPr>
          <w:color w:val="000000" w:themeColor="text1"/>
        </w:rPr>
      </w:pPr>
      <w:r w:rsidRPr="006D337A">
        <w:rPr>
          <w:color w:val="000000" w:themeColor="text1"/>
        </w:rPr>
        <w:t>Regardless of how an amendment is proposed</w:t>
      </w:r>
      <w:r w:rsidR="00003B2C" w:rsidRPr="006D337A">
        <w:rPr>
          <w:color w:val="000000" w:themeColor="text1"/>
        </w:rPr>
        <w:t xml:space="preserve">, the issue must be placed on the </w:t>
      </w:r>
      <w:r w:rsidRPr="006D337A">
        <w:rPr>
          <w:color w:val="000000" w:themeColor="text1"/>
        </w:rPr>
        <w:t xml:space="preserve">ballot </w:t>
      </w:r>
      <w:r w:rsidR="00003B2C" w:rsidRPr="006D337A">
        <w:rPr>
          <w:color w:val="000000" w:themeColor="text1"/>
        </w:rPr>
        <w:t xml:space="preserve">of a statewide election </w:t>
      </w:r>
      <w:r w:rsidRPr="006D337A">
        <w:rPr>
          <w:color w:val="000000" w:themeColor="text1"/>
        </w:rPr>
        <w:t xml:space="preserve">and passage requires </w:t>
      </w:r>
      <w:r w:rsidR="00003B2C" w:rsidRPr="006D337A">
        <w:rPr>
          <w:color w:val="000000" w:themeColor="text1"/>
        </w:rPr>
        <w:t xml:space="preserve">that a supermajority of voters must agree to the change.  Additionally, </w:t>
      </w:r>
      <w:r w:rsidRPr="006D337A">
        <w:rPr>
          <w:color w:val="000000" w:themeColor="text1"/>
        </w:rPr>
        <w:t>a limit of no more than three amendments can be put to the voters per general election.</w:t>
      </w:r>
      <w:r w:rsidR="00003B2C" w:rsidRPr="006D337A">
        <w:rPr>
          <w:color w:val="000000" w:themeColor="text1"/>
        </w:rPr>
        <w:t xml:space="preserve">  The Illinois Constitution has been successfu</w:t>
      </w:r>
      <w:r w:rsidR="001A6C4D" w:rsidRPr="006D337A">
        <w:rPr>
          <w:color w:val="000000" w:themeColor="text1"/>
        </w:rPr>
        <w:t xml:space="preserve">lly amended 14 times since 1970. </w:t>
      </w:r>
    </w:p>
    <w:sectPr w:rsidR="004F0A57" w:rsidRPr="006D337A" w:rsidSect="001A6C4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1D91"/>
    <w:multiLevelType w:val="hybridMultilevel"/>
    <w:tmpl w:val="A960600A"/>
    <w:lvl w:ilvl="0" w:tplc="DD3CD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2"/>
    <w:rsid w:val="00003B2C"/>
    <w:rsid w:val="00065186"/>
    <w:rsid w:val="00067F61"/>
    <w:rsid w:val="00084584"/>
    <w:rsid w:val="000F4367"/>
    <w:rsid w:val="001A6C4D"/>
    <w:rsid w:val="001F0054"/>
    <w:rsid w:val="003C16E7"/>
    <w:rsid w:val="003C3949"/>
    <w:rsid w:val="004924BD"/>
    <w:rsid w:val="004F0A57"/>
    <w:rsid w:val="00505196"/>
    <w:rsid w:val="00550260"/>
    <w:rsid w:val="00555F1E"/>
    <w:rsid w:val="00582E4B"/>
    <w:rsid w:val="006D337A"/>
    <w:rsid w:val="0072183E"/>
    <w:rsid w:val="007F6384"/>
    <w:rsid w:val="008B4E35"/>
    <w:rsid w:val="009859F2"/>
    <w:rsid w:val="009D6ECA"/>
    <w:rsid w:val="009F11C0"/>
    <w:rsid w:val="00A0414D"/>
    <w:rsid w:val="00A14040"/>
    <w:rsid w:val="00A4280D"/>
    <w:rsid w:val="00AA083B"/>
    <w:rsid w:val="00AD4B5A"/>
    <w:rsid w:val="00B567A3"/>
    <w:rsid w:val="00C50A33"/>
    <w:rsid w:val="00C647A9"/>
    <w:rsid w:val="00C751FD"/>
    <w:rsid w:val="00CF1373"/>
    <w:rsid w:val="00D329FB"/>
    <w:rsid w:val="00DB301D"/>
    <w:rsid w:val="00E26A88"/>
    <w:rsid w:val="00E51657"/>
    <w:rsid w:val="00FB2232"/>
    <w:rsid w:val="00FD3E00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91304"/>
  <w15:docId w15:val="{B9233773-BA36-4142-99D2-E427D34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59F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59F2"/>
  </w:style>
  <w:style w:type="character" w:customStyle="1" w:styleId="vm-hook-outer">
    <w:name w:val="vm-hook-outer"/>
    <w:basedOn w:val="DefaultParagraphFont"/>
    <w:rsid w:val="009859F2"/>
  </w:style>
  <w:style w:type="character" w:customStyle="1" w:styleId="vm-hook">
    <w:name w:val="vm-hook"/>
    <w:basedOn w:val="DefaultParagraphFont"/>
    <w:rsid w:val="009859F2"/>
  </w:style>
  <w:style w:type="character" w:customStyle="1" w:styleId="Heading4Char">
    <w:name w:val="Heading 4 Char"/>
    <w:basedOn w:val="DefaultParagraphFont"/>
    <w:link w:val="Heading4"/>
    <w:uiPriority w:val="9"/>
    <w:rsid w:val="009859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9F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751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4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99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254778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E1E1E1"/>
                <w:right w:val="none" w:sz="0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Haller</dc:creator>
  <cp:keywords/>
  <dc:description/>
  <cp:lastModifiedBy>Bolin, Melinda</cp:lastModifiedBy>
  <cp:revision>2</cp:revision>
  <cp:lastPrinted>2017-08-02T21:20:00Z</cp:lastPrinted>
  <dcterms:created xsi:type="dcterms:W3CDTF">2017-08-31T14:50:00Z</dcterms:created>
  <dcterms:modified xsi:type="dcterms:W3CDTF">2017-08-31T14:50:00Z</dcterms:modified>
</cp:coreProperties>
</file>