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3B7" w:rsidRDefault="003B23B7" w:rsidP="003B23B7">
      <w:pPr>
        <w:tabs>
          <w:tab w:val="left" w:pos="14619"/>
        </w:tabs>
        <w:spacing w:before="129"/>
        <w:ind w:left="231"/>
        <w:rPr>
          <w:rFonts w:ascii="Arial"/>
          <w:sz w:val="4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E2AD973" wp14:editId="4CE50225">
            <wp:simplePos x="0" y="0"/>
            <wp:positionH relativeFrom="page">
              <wp:posOffset>418895</wp:posOffset>
            </wp:positionH>
            <wp:positionV relativeFrom="paragraph">
              <wp:posOffset>390268</wp:posOffset>
            </wp:positionV>
            <wp:extent cx="9182304" cy="97535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304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05"/>
          <w:sz w:val="40"/>
          <w:u w:val="single"/>
        </w:rPr>
        <w:t>Section</w:t>
      </w:r>
      <w:r>
        <w:rPr>
          <w:rFonts w:ascii="Arial"/>
          <w:spacing w:val="-26"/>
          <w:w w:val="105"/>
          <w:sz w:val="40"/>
          <w:u w:val="single"/>
        </w:rPr>
        <w:t xml:space="preserve"> </w:t>
      </w:r>
      <w:r>
        <w:rPr>
          <w:rFonts w:ascii="Arial"/>
          <w:w w:val="105"/>
          <w:sz w:val="40"/>
          <w:u w:val="single"/>
        </w:rPr>
        <w:t>1</w:t>
      </w:r>
      <w:r>
        <w:rPr>
          <w:rFonts w:ascii="Arial"/>
          <w:sz w:val="40"/>
          <w:u w:val="single"/>
        </w:rPr>
        <w:tab/>
      </w:r>
    </w:p>
    <w:p w:rsidR="003B23B7" w:rsidRDefault="003B23B7" w:rsidP="003B23B7">
      <w:pPr>
        <w:ind w:left="231"/>
        <w:rPr>
          <w:rFonts w:ascii="Arial"/>
          <w:sz w:val="48"/>
        </w:rPr>
      </w:pPr>
      <w:r>
        <w:rPr>
          <w:rFonts w:ascii="Arial"/>
          <w:w w:val="105"/>
          <w:sz w:val="48"/>
        </w:rPr>
        <w:t>What it IS; What it is NOT</w:t>
      </w:r>
    </w:p>
    <w:p w:rsidR="003B23B7" w:rsidRDefault="003B23B7" w:rsidP="003B23B7">
      <w:pPr>
        <w:pStyle w:val="BodyText"/>
        <w:spacing w:before="11"/>
        <w:ind w:left="0" w:firstLine="0"/>
        <w:rPr>
          <w:rFonts w:ascii="Arial"/>
          <w:sz w:val="1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7"/>
        <w:gridCol w:w="4867"/>
        <w:gridCol w:w="4764"/>
      </w:tblGrid>
      <w:tr w:rsidR="003B23B7" w:rsidTr="000E004D">
        <w:trPr>
          <w:trHeight w:hRule="exact" w:val="298"/>
        </w:trPr>
        <w:tc>
          <w:tcPr>
            <w:tcW w:w="4867" w:type="dxa"/>
          </w:tcPr>
          <w:p w:rsidR="003B23B7" w:rsidRDefault="003B23B7" w:rsidP="000E004D">
            <w:pPr>
              <w:pStyle w:val="TableParagraph"/>
              <w:ind w:left="1019" w:right="1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 of Co-Teaching</w:t>
            </w:r>
          </w:p>
        </w:tc>
        <w:tc>
          <w:tcPr>
            <w:tcW w:w="4867" w:type="dxa"/>
          </w:tcPr>
          <w:p w:rsidR="003B23B7" w:rsidRDefault="003B23B7" w:rsidP="000E004D">
            <w:pPr>
              <w:pStyle w:val="TableParagraph"/>
              <w:ind w:left="1475"/>
              <w:rPr>
                <w:b/>
                <w:sz w:val="24"/>
              </w:rPr>
            </w:pPr>
            <w:r>
              <w:rPr>
                <w:b/>
                <w:sz w:val="24"/>
              </w:rPr>
              <w:t>Co-Teaching DOES</w:t>
            </w:r>
          </w:p>
        </w:tc>
        <w:tc>
          <w:tcPr>
            <w:tcW w:w="4764" w:type="dxa"/>
            <w:tcBorders>
              <w:right w:val="single" w:sz="4" w:space="0" w:color="auto"/>
            </w:tcBorders>
          </w:tcPr>
          <w:p w:rsidR="003B23B7" w:rsidRDefault="003B23B7" w:rsidP="000E004D">
            <w:pPr>
              <w:pStyle w:val="TableParagraph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Co-Teaching Does NOT</w:t>
            </w:r>
          </w:p>
        </w:tc>
      </w:tr>
      <w:tr w:rsidR="003B23B7" w:rsidTr="000E004D">
        <w:trPr>
          <w:trHeight w:hRule="exact" w:val="1162"/>
        </w:trPr>
        <w:tc>
          <w:tcPr>
            <w:tcW w:w="4867" w:type="dxa"/>
          </w:tcPr>
          <w:p w:rsidR="003B23B7" w:rsidRDefault="003B23B7" w:rsidP="000E004D">
            <w:pPr>
              <w:pStyle w:val="TableParagraph"/>
              <w:ind w:left="1019" w:right="1015"/>
              <w:jc w:val="center"/>
              <w:rPr>
                <w:sz w:val="24"/>
              </w:rPr>
            </w:pPr>
            <w:r>
              <w:rPr>
                <w:sz w:val="24"/>
              </w:rPr>
              <w:t>“two or more professionals”</w:t>
            </w:r>
          </w:p>
        </w:tc>
        <w:tc>
          <w:tcPr>
            <w:tcW w:w="4867" w:type="dxa"/>
          </w:tcPr>
          <w:p w:rsidR="003B23B7" w:rsidRDefault="003B23B7" w:rsidP="000E004D">
            <w:pPr>
              <w:pStyle w:val="TableParagraph"/>
              <w:spacing w:line="240" w:lineRule="auto"/>
              <w:ind w:right="351"/>
              <w:rPr>
                <w:sz w:val="24"/>
              </w:rPr>
            </w:pPr>
            <w:r>
              <w:rPr>
                <w:sz w:val="24"/>
              </w:rPr>
              <w:t>involve at least 2 peers who are partners in the instructional effort.</w:t>
            </w:r>
          </w:p>
        </w:tc>
        <w:tc>
          <w:tcPr>
            <w:tcW w:w="4764" w:type="dxa"/>
            <w:tcBorders>
              <w:right w:val="single" w:sz="4" w:space="0" w:color="auto"/>
            </w:tcBorders>
          </w:tcPr>
          <w:p w:rsidR="003B23B7" w:rsidRDefault="003B23B7" w:rsidP="000E004D">
            <w:pPr>
              <w:pStyle w:val="TableParagraph"/>
              <w:spacing w:line="240" w:lineRule="auto"/>
              <w:ind w:right="254"/>
              <w:rPr>
                <w:sz w:val="24"/>
              </w:rPr>
            </w:pPr>
            <w:r>
              <w:rPr>
                <w:sz w:val="24"/>
              </w:rPr>
              <w:t>involve a teacher and a classroom volunteer or paraprofessional who do not have the professional preparation to co-teach (Friend, 2003).</w:t>
            </w:r>
          </w:p>
        </w:tc>
      </w:tr>
      <w:tr w:rsidR="003B23B7" w:rsidTr="000E004D">
        <w:trPr>
          <w:trHeight w:hRule="exact" w:val="2026"/>
        </w:trPr>
        <w:tc>
          <w:tcPr>
            <w:tcW w:w="4867" w:type="dxa"/>
          </w:tcPr>
          <w:p w:rsidR="003B23B7" w:rsidRDefault="003B23B7" w:rsidP="000E004D">
            <w:pPr>
              <w:pStyle w:val="TableParagraph"/>
              <w:ind w:left="1019" w:right="1015"/>
              <w:jc w:val="center"/>
              <w:rPr>
                <w:sz w:val="24"/>
              </w:rPr>
            </w:pPr>
            <w:r>
              <w:rPr>
                <w:sz w:val="24"/>
              </w:rPr>
              <w:t>“joint delivery of instruction”</w:t>
            </w:r>
          </w:p>
        </w:tc>
        <w:tc>
          <w:tcPr>
            <w:tcW w:w="4867" w:type="dxa"/>
          </w:tcPr>
          <w:p w:rsidR="003B23B7" w:rsidRDefault="003B23B7" w:rsidP="000E004D">
            <w:pPr>
              <w:pStyle w:val="TableParagraph"/>
              <w:spacing w:line="240" w:lineRule="auto"/>
              <w:ind w:right="176"/>
              <w:rPr>
                <w:sz w:val="24"/>
              </w:rPr>
            </w:pPr>
            <w:r>
              <w:rPr>
                <w:sz w:val="24"/>
              </w:rPr>
              <w:t>mean both coordinate and deliver substantive instruction, ensuring that both teachers have active roles. Co-teachers should work to ensure that their instructional strategies engage all students in ways that are not possible when only one teacher is present (Austin, 2001; Gately &amp; Gately, 2001).</w:t>
            </w:r>
          </w:p>
        </w:tc>
        <w:tc>
          <w:tcPr>
            <w:tcW w:w="4764" w:type="dxa"/>
            <w:tcBorders>
              <w:right w:val="single" w:sz="4" w:space="0" w:color="auto"/>
            </w:tcBorders>
          </w:tcPr>
          <w:p w:rsidR="003B23B7" w:rsidRDefault="003B23B7" w:rsidP="000E004D">
            <w:pPr>
              <w:pStyle w:val="TableParagraph"/>
              <w:spacing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 xml:space="preserve">mean two adults merely being present in the classroom at the same time. It also does not mean that one teacher plans and delivers </w:t>
            </w:r>
            <w:proofErr w:type="gramStart"/>
            <w:r>
              <w:rPr>
                <w:sz w:val="24"/>
              </w:rPr>
              <w:t>all of</w:t>
            </w:r>
            <w:proofErr w:type="gramEnd"/>
            <w:r>
              <w:rPr>
                <w:sz w:val="24"/>
              </w:rPr>
              <w:t xml:space="preserve"> the lessons while the other circulates. It does not involve taking turns teaching the whole group (</w:t>
            </w:r>
            <w:proofErr w:type="spellStart"/>
            <w:r>
              <w:rPr>
                <w:sz w:val="24"/>
              </w:rPr>
              <w:t>Murawski</w:t>
            </w:r>
            <w:proofErr w:type="spellEnd"/>
            <w:r>
              <w:rPr>
                <w:sz w:val="24"/>
              </w:rPr>
              <w:t>, 2002).</w:t>
            </w:r>
          </w:p>
        </w:tc>
      </w:tr>
      <w:tr w:rsidR="003B23B7" w:rsidTr="000E004D">
        <w:trPr>
          <w:trHeight w:hRule="exact" w:val="1454"/>
        </w:trPr>
        <w:tc>
          <w:tcPr>
            <w:tcW w:w="4867" w:type="dxa"/>
          </w:tcPr>
          <w:p w:rsidR="003B23B7" w:rsidRDefault="003B23B7" w:rsidP="000E004D">
            <w:pPr>
              <w:pStyle w:val="TableParagraph"/>
              <w:ind w:left="1019" w:right="1015"/>
              <w:jc w:val="center"/>
              <w:rPr>
                <w:sz w:val="24"/>
              </w:rPr>
            </w:pPr>
            <w:r>
              <w:rPr>
                <w:sz w:val="24"/>
              </w:rPr>
              <w:t>“diverse group of students”</w:t>
            </w:r>
          </w:p>
        </w:tc>
        <w:tc>
          <w:tcPr>
            <w:tcW w:w="4867" w:type="dxa"/>
          </w:tcPr>
          <w:p w:rsidR="003B23B7" w:rsidRDefault="003B23B7" w:rsidP="000E004D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allow teachers to respond effectively to diverse needs of students, lower the teacher-student ration, and expand the professional expertise that can be applied to student needs (</w:t>
            </w:r>
            <w:proofErr w:type="spellStart"/>
            <w:r>
              <w:rPr>
                <w:sz w:val="24"/>
              </w:rPr>
              <w:t>Hourcade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Bauwens</w:t>
            </w:r>
            <w:proofErr w:type="spellEnd"/>
            <w:r>
              <w:rPr>
                <w:sz w:val="24"/>
              </w:rPr>
              <w:t>, 2001).</w:t>
            </w:r>
          </w:p>
        </w:tc>
        <w:tc>
          <w:tcPr>
            <w:tcW w:w="4764" w:type="dxa"/>
            <w:tcBorders>
              <w:right w:val="single" w:sz="4" w:space="0" w:color="auto"/>
            </w:tcBorders>
          </w:tcPr>
          <w:p w:rsidR="003B23B7" w:rsidRDefault="003B23B7" w:rsidP="000E004D">
            <w:pPr>
              <w:pStyle w:val="TableParagraph"/>
              <w:spacing w:line="240" w:lineRule="auto"/>
              <w:ind w:right="70"/>
              <w:rPr>
                <w:sz w:val="24"/>
              </w:rPr>
            </w:pPr>
            <w:r>
              <w:rPr>
                <w:sz w:val="24"/>
              </w:rPr>
              <w:t>include separating or grouping students with special needs in one part of the classroom or along the fringes, even if these practices are well- intentioned (Friend, 2003).</w:t>
            </w:r>
          </w:p>
        </w:tc>
      </w:tr>
      <w:tr w:rsidR="003B23B7" w:rsidTr="000E004D">
        <w:trPr>
          <w:trHeight w:hRule="exact" w:val="1738"/>
        </w:trPr>
        <w:tc>
          <w:tcPr>
            <w:tcW w:w="4867" w:type="dxa"/>
          </w:tcPr>
          <w:p w:rsidR="003B23B7" w:rsidRDefault="003B23B7" w:rsidP="000E004D">
            <w:pPr>
              <w:pStyle w:val="TableParagraph"/>
              <w:ind w:left="1019" w:right="1015"/>
              <w:jc w:val="center"/>
              <w:rPr>
                <w:sz w:val="24"/>
              </w:rPr>
            </w:pPr>
            <w:r>
              <w:rPr>
                <w:sz w:val="24"/>
              </w:rPr>
              <w:t>“shared classroom space”</w:t>
            </w:r>
          </w:p>
        </w:tc>
        <w:tc>
          <w:tcPr>
            <w:tcW w:w="4867" w:type="dxa"/>
          </w:tcPr>
          <w:p w:rsidR="003B23B7" w:rsidRDefault="003B23B7" w:rsidP="000E004D">
            <w:pPr>
              <w:pStyle w:val="TableParagraph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feature co-teachers instructing in the same physical space. Although small groups may occasionally be taken to a separate location for a specific purpose and limited time, co-teaching generally takes place in a single environment (Friend, 2003).</w:t>
            </w:r>
          </w:p>
        </w:tc>
        <w:tc>
          <w:tcPr>
            <w:tcW w:w="4764" w:type="dxa"/>
            <w:tcBorders>
              <w:right w:val="single" w:sz="4" w:space="0" w:color="auto"/>
            </w:tcBorders>
          </w:tcPr>
          <w:p w:rsidR="003B23B7" w:rsidRDefault="003B23B7" w:rsidP="000E004D">
            <w:pPr>
              <w:pStyle w:val="TableParagraph"/>
              <w:spacing w:line="240" w:lineRule="auto"/>
              <w:ind w:right="225"/>
              <w:rPr>
                <w:sz w:val="24"/>
              </w:rPr>
            </w:pPr>
            <w:r>
              <w:rPr>
                <w:sz w:val="24"/>
              </w:rPr>
              <w:t>include teaching teams that plan together but then group and instruct in separate classrooms (Trump, 1966; Green,1985).</w:t>
            </w:r>
          </w:p>
        </w:tc>
      </w:tr>
    </w:tbl>
    <w:p w:rsidR="005042D1" w:rsidRDefault="001F38B5">
      <w:bookmarkStart w:id="0" w:name="_GoBack"/>
      <w:bookmarkEnd w:id="0"/>
    </w:p>
    <w:sectPr w:rsidR="005042D1" w:rsidSect="003A6943">
      <w:footerReference w:type="default" r:id="rId5"/>
      <w:pgSz w:w="15840" w:h="12240" w:orient="landscape"/>
      <w:pgMar w:top="1138" w:right="605" w:bottom="936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3B7" w:rsidRDefault="003B23B7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08196C" wp14:editId="38C404D3">
              <wp:simplePos x="0" y="0"/>
              <wp:positionH relativeFrom="page">
                <wp:posOffset>9406255</wp:posOffset>
              </wp:positionH>
              <wp:positionV relativeFrom="page">
                <wp:posOffset>7122795</wp:posOffset>
              </wp:positionV>
              <wp:extent cx="219710" cy="204470"/>
              <wp:effectExtent l="0" t="0" r="381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3B7" w:rsidRDefault="003B23B7">
                          <w:pPr>
                            <w:pStyle w:val="BodyText"/>
                            <w:spacing w:before="20"/>
                            <w:ind w:left="40" w:firstLine="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3AAE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819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40.65pt;margin-top:560.85pt;width:17.3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78rAIAAKg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" filled="f" stroked="f">
              <v:textbox inset="0,0,0,0">
                <w:txbxContent>
                  <w:p w:rsidR="003B23B7" w:rsidRDefault="003B23B7">
                    <w:pPr>
                      <w:pStyle w:val="BodyText"/>
                      <w:spacing w:before="20"/>
                      <w:ind w:left="40" w:firstLine="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3AAE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43"/>
    <w:rsid w:val="001F38B5"/>
    <w:rsid w:val="003A6943"/>
    <w:rsid w:val="003B23B7"/>
    <w:rsid w:val="003D6C61"/>
    <w:rsid w:val="008871AA"/>
    <w:rsid w:val="008C14E6"/>
    <w:rsid w:val="00B33AAE"/>
    <w:rsid w:val="00D0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F363"/>
  <w15:chartTrackingRefBased/>
  <w15:docId w15:val="{1B93D741-3DF8-4A1C-B727-A8BB79D6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23B7"/>
    <w:pPr>
      <w:widowControl w:val="0"/>
      <w:autoSpaceDE w:val="0"/>
      <w:autoSpaceDN w:val="0"/>
      <w:spacing w:after="0" w:line="240" w:lineRule="auto"/>
      <w:ind w:left="911" w:hanging="360"/>
    </w:pPr>
    <w:rPr>
      <w:rFonts w:ascii="Goudy Old Style" w:eastAsia="Goudy Old Style" w:hAnsi="Goudy Old Style" w:cs="Goudy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23B7"/>
    <w:rPr>
      <w:rFonts w:ascii="Goudy Old Style" w:eastAsia="Goudy Old Style" w:hAnsi="Goudy Old Style" w:cs="Goudy Old Style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23B7"/>
    <w:pPr>
      <w:widowControl w:val="0"/>
      <w:autoSpaceDE w:val="0"/>
      <w:autoSpaceDN w:val="0"/>
      <w:spacing w:after="0" w:line="287" w:lineRule="exact"/>
      <w:ind w:left="105"/>
    </w:pPr>
    <w:rPr>
      <w:rFonts w:ascii="Goudy Old Style" w:eastAsia="Goudy Old Style" w:hAnsi="Goudy Old Style" w:cs="Goudy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Jena</dc:creator>
  <cp:keywords/>
  <dc:description/>
  <cp:lastModifiedBy>Hobbs, Jena</cp:lastModifiedBy>
  <cp:revision>2</cp:revision>
  <dcterms:created xsi:type="dcterms:W3CDTF">2018-08-10T19:23:00Z</dcterms:created>
  <dcterms:modified xsi:type="dcterms:W3CDTF">2018-08-10T19:23:00Z</dcterms:modified>
</cp:coreProperties>
</file>