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4C09" w14:textId="21C65891" w:rsidR="00300CB5" w:rsidRPr="00300CB5" w:rsidRDefault="00300CB5" w:rsidP="00300CB5">
      <w:pPr>
        <w:shd w:val="clear" w:color="auto" w:fill="F8F8F8"/>
        <w:spacing w:before="60" w:after="60" w:line="240" w:lineRule="auto"/>
        <w:outlineLvl w:val="0"/>
        <w:rPr>
          <w:rFonts w:ascii="ISUSemiBold" w:eastAsia="Times New Roman" w:hAnsi="ISUSemiBold" w:cs="Times New Roman"/>
          <w:color w:val="333333"/>
          <w:kern w:val="36"/>
          <w:sz w:val="50"/>
          <w:szCs w:val="50"/>
        </w:rPr>
      </w:pPr>
      <w:r w:rsidRPr="00300CB5">
        <w:rPr>
          <w:rFonts w:ascii="ISUSemiBold" w:eastAsia="Times New Roman" w:hAnsi="ISUSemiBold" w:cs="Times New Roman"/>
          <w:color w:val="333333"/>
          <w:kern w:val="36"/>
          <w:sz w:val="50"/>
          <w:szCs w:val="50"/>
        </w:rPr>
        <w:t>Faith's Law</w:t>
      </w:r>
    </w:p>
    <w:p w14:paraId="09677BBA" w14:textId="49E2EF0F" w:rsidR="00300CB5" w:rsidRDefault="00300CB5" w:rsidP="00300CB5">
      <w:pPr>
        <w:shd w:val="clear" w:color="auto" w:fill="F8F8F8"/>
        <w:spacing w:before="240" w:after="60" w:line="240" w:lineRule="auto"/>
        <w:outlineLvl w:val="1"/>
        <w:rPr>
          <w:rFonts w:ascii="ISUSemiBold" w:eastAsia="Times New Roman" w:hAnsi="ISUSemiBold" w:cs="Times New Roman"/>
          <w:color w:val="333333"/>
          <w:sz w:val="38"/>
          <w:szCs w:val="38"/>
        </w:rPr>
      </w:pPr>
      <w:r>
        <w:rPr>
          <w:rFonts w:ascii="ISUSemiBold" w:eastAsia="Times New Roman" w:hAnsi="ISUSemiBold" w:cs="Times New Roman"/>
          <w:color w:val="333333"/>
          <w:sz w:val="38"/>
          <w:szCs w:val="38"/>
        </w:rPr>
        <w:t>Employment History Review</w:t>
      </w:r>
      <w:r w:rsidR="00022FA5">
        <w:rPr>
          <w:rFonts w:ascii="ISUSemiBold" w:eastAsia="Times New Roman" w:hAnsi="ISUSemiBold" w:cs="Times New Roman"/>
          <w:color w:val="333333"/>
          <w:sz w:val="38"/>
          <w:szCs w:val="38"/>
        </w:rPr>
        <w:t xml:space="preserve"> </w:t>
      </w:r>
    </w:p>
    <w:p w14:paraId="2309EE61" w14:textId="77777777" w:rsidR="00300CB5" w:rsidRDefault="00300CB5" w:rsidP="00300CB5"/>
    <w:p w14:paraId="20F6A7CE" w14:textId="3075D001" w:rsidR="005E43FB" w:rsidRPr="005E43FB" w:rsidRDefault="00393164" w:rsidP="00300CB5">
      <w:pPr>
        <w:rPr>
          <w:i/>
          <w:iCs/>
        </w:rPr>
      </w:pPr>
      <w:r>
        <w:rPr>
          <w:i/>
          <w:iCs/>
        </w:rPr>
        <w:t xml:space="preserve">Faith’s Law EHR &amp; </w:t>
      </w:r>
      <w:r w:rsidR="005E43FB">
        <w:rPr>
          <w:i/>
          <w:iCs/>
        </w:rPr>
        <w:t xml:space="preserve">New </w:t>
      </w:r>
      <w:r>
        <w:rPr>
          <w:i/>
          <w:iCs/>
        </w:rPr>
        <w:t xml:space="preserve">University </w:t>
      </w:r>
      <w:r w:rsidR="005E43FB">
        <w:rPr>
          <w:i/>
          <w:iCs/>
        </w:rPr>
        <w:t>Applicants</w:t>
      </w:r>
      <w:r w:rsidR="00BD2EDA">
        <w:rPr>
          <w:i/>
          <w:iCs/>
        </w:rPr>
        <w:t xml:space="preserve"> / </w:t>
      </w:r>
      <w:r w:rsidR="00992D4A">
        <w:rPr>
          <w:i/>
          <w:iCs/>
        </w:rPr>
        <w:t xml:space="preserve">Current University Employees That May </w:t>
      </w:r>
      <w:r w:rsidR="00BD2EDA">
        <w:rPr>
          <w:i/>
          <w:iCs/>
        </w:rPr>
        <w:t xml:space="preserve">Transfer to </w:t>
      </w:r>
      <w:r w:rsidR="00CE330D">
        <w:rPr>
          <w:i/>
          <w:iCs/>
        </w:rPr>
        <w:t xml:space="preserve">a position with assigned work connected </w:t>
      </w:r>
      <w:r w:rsidR="00BD2EDA">
        <w:rPr>
          <w:i/>
          <w:iCs/>
        </w:rPr>
        <w:t>Laboratory School</w:t>
      </w:r>
      <w:r w:rsidR="00CE330D">
        <w:rPr>
          <w:i/>
          <w:iCs/>
        </w:rPr>
        <w:t xml:space="preserve"> grounds or buildings</w:t>
      </w:r>
      <w:r w:rsidR="005E43FB">
        <w:rPr>
          <w:i/>
          <w:iCs/>
        </w:rPr>
        <w:t>:</w:t>
      </w:r>
    </w:p>
    <w:p w14:paraId="0CC6F440" w14:textId="074624E5" w:rsidR="00A03D2E" w:rsidRDefault="00FA00B8" w:rsidP="00A9264F">
      <w:r>
        <w:t>Effective July 1, 2023, w</w:t>
      </w:r>
      <w:r w:rsidR="005E43FB">
        <w:t xml:space="preserve">hen hiring a new applicant at the University who may work in a role </w:t>
      </w:r>
      <w:r w:rsidR="005E43FB" w:rsidRPr="79F681FB">
        <w:rPr>
          <w:b/>
          <w:bCs/>
          <w:u w:val="single"/>
        </w:rPr>
        <w:t>that involves</w:t>
      </w:r>
      <w:r w:rsidR="0B7418D4" w:rsidRPr="79F681FB">
        <w:rPr>
          <w:b/>
          <w:bCs/>
          <w:u w:val="single"/>
        </w:rPr>
        <w:t xml:space="preserve"> the possibility of</w:t>
      </w:r>
      <w:r w:rsidR="005E43FB" w:rsidRPr="79F681FB">
        <w:rPr>
          <w:b/>
          <w:bCs/>
          <w:u w:val="single"/>
        </w:rPr>
        <w:t xml:space="preserve"> direct contact with children or students at the Laboratory School</w:t>
      </w:r>
      <w:r w:rsidR="001E4A82">
        <w:rPr>
          <w:b/>
          <w:bCs/>
          <w:u w:val="single"/>
        </w:rPr>
        <w:t xml:space="preserve"> grounds or </w:t>
      </w:r>
      <w:proofErr w:type="gramStart"/>
      <w:r w:rsidR="001E4A82">
        <w:rPr>
          <w:b/>
          <w:bCs/>
          <w:u w:val="single"/>
        </w:rPr>
        <w:t>buildings</w:t>
      </w:r>
      <w:r w:rsidR="00E160A5">
        <w:rPr>
          <w:b/>
          <w:bCs/>
          <w:u w:val="single"/>
        </w:rPr>
        <w:t xml:space="preserve"> </w:t>
      </w:r>
      <w:r w:rsidR="005E43FB">
        <w:t>,</w:t>
      </w:r>
      <w:proofErr w:type="gramEnd"/>
      <w:r w:rsidR="005E43FB">
        <w:t xml:space="preserve"> t</w:t>
      </w:r>
      <w:r w:rsidR="007C1F53">
        <w:t xml:space="preserve">he </w:t>
      </w:r>
      <w:r>
        <w:t>University must complete a Faith’s Law Employment History Review (“Faith’s Law E</w:t>
      </w:r>
      <w:r w:rsidR="36DB3A2F">
        <w:t>H</w:t>
      </w:r>
      <w:r>
        <w:t xml:space="preserve">R”).  </w:t>
      </w:r>
      <w:r w:rsidR="00DF2131">
        <w:t>When a current University employee is transferred to a position with assigned work connected to the Laboratory School</w:t>
      </w:r>
      <w:r w:rsidR="001E4A82">
        <w:t xml:space="preserve"> grounds or buildings</w:t>
      </w:r>
      <w:r w:rsidR="00A9264F">
        <w:t xml:space="preserve">, a Faith’s Law EHR is also required to be completed.  </w:t>
      </w:r>
    </w:p>
    <w:p w14:paraId="176183DA" w14:textId="0811AF65" w:rsidR="00300CB5" w:rsidRDefault="00694340" w:rsidP="00300CB5">
      <w:r>
        <w:t xml:space="preserve"> </w:t>
      </w:r>
      <w:r w:rsidR="00FA00B8">
        <w:t xml:space="preserve">The </w:t>
      </w:r>
      <w:r w:rsidR="00000AD2">
        <w:t xml:space="preserve">Faith’s Law EHR </w:t>
      </w:r>
      <w:r w:rsidR="00416A7C">
        <w:t>requires</w:t>
      </w:r>
      <w:r w:rsidR="007C1F53">
        <w:t>:</w:t>
      </w:r>
    </w:p>
    <w:p w14:paraId="50A2180E" w14:textId="7ECC48A3" w:rsidR="00FA00B8" w:rsidRDefault="00E627F8" w:rsidP="007C1F53">
      <w:pPr>
        <w:pStyle w:val="ListParagraph"/>
        <w:numPr>
          <w:ilvl w:val="0"/>
          <w:numId w:val="2"/>
        </w:numPr>
      </w:pPr>
      <w:r>
        <w:t>The applicant must</w:t>
      </w:r>
      <w:r w:rsidR="00D002DA">
        <w:t xml:space="preserve"> complete a required </w:t>
      </w:r>
      <w:r w:rsidR="00000AD2">
        <w:t xml:space="preserve">Illinois State Board of Education (“ISBE”) </w:t>
      </w:r>
      <w:hyperlink r:id="rId7" w:anchor="Forms6" w:history="1">
        <w:r w:rsidR="00AF3503" w:rsidRPr="00AF3503">
          <w:rPr>
            <w:rStyle w:val="Hyperlink"/>
          </w:rPr>
          <w:t>Faith’s Law Applicant Disclosure Form</w:t>
        </w:r>
      </w:hyperlink>
      <w:r w:rsidR="00AF3503">
        <w:t xml:space="preserve"> </w:t>
      </w:r>
      <w:r w:rsidR="007C1F53">
        <w:t xml:space="preserve">confirming </w:t>
      </w:r>
      <w:r w:rsidR="00416A7C">
        <w:t xml:space="preserve">to the University that </w:t>
      </w:r>
      <w:r w:rsidR="007C1F53">
        <w:t xml:space="preserve">the applicant is not </w:t>
      </w:r>
      <w:r>
        <w:t>disqualified from employment</w:t>
      </w:r>
      <w:r w:rsidR="008A4740">
        <w:t xml:space="preserve"> at the Laboratory Schools</w:t>
      </w:r>
      <w:r>
        <w:t>.</w:t>
      </w:r>
      <w:r w:rsidR="009C1ED5">
        <w:t xml:space="preserve">  </w:t>
      </w:r>
    </w:p>
    <w:p w14:paraId="09AF8179" w14:textId="77777777" w:rsidR="00FA00B8" w:rsidRDefault="00FA00B8" w:rsidP="00FA00B8">
      <w:pPr>
        <w:pStyle w:val="ListParagraph"/>
        <w:ind w:left="1440"/>
      </w:pPr>
    </w:p>
    <w:p w14:paraId="085B8993" w14:textId="491EA631" w:rsidR="009C1ED5" w:rsidRDefault="009C1ED5" w:rsidP="007C1F53">
      <w:pPr>
        <w:pStyle w:val="ListParagraph"/>
        <w:numPr>
          <w:ilvl w:val="0"/>
          <w:numId w:val="2"/>
        </w:numPr>
      </w:pPr>
      <w:r>
        <w:t>The applicant must also</w:t>
      </w:r>
      <w:r w:rsidR="00FA00B8">
        <w:t xml:space="preserve"> complete the</w:t>
      </w:r>
      <w:r w:rsidR="00AF3503">
        <w:t xml:space="preserve"> </w:t>
      </w:r>
      <w:hyperlink r:id="rId8" w:anchor="Forms6" w:history="1">
        <w:r w:rsidR="00AF3503" w:rsidRPr="00AF3503">
          <w:rPr>
            <w:rStyle w:val="Hyperlink"/>
          </w:rPr>
          <w:t xml:space="preserve">Faith’s Law </w:t>
        </w:r>
        <w:r w:rsidR="00FA00B8" w:rsidRPr="00AF3503">
          <w:rPr>
            <w:rStyle w:val="Hyperlink"/>
          </w:rPr>
          <w:t>Current/Fo</w:t>
        </w:r>
        <w:r w:rsidR="00FD6F32" w:rsidRPr="00AF3503">
          <w:rPr>
            <w:rStyle w:val="Hyperlink"/>
          </w:rPr>
          <w:t>r</w:t>
        </w:r>
        <w:r w:rsidR="00FA00B8" w:rsidRPr="00AF3503">
          <w:rPr>
            <w:rStyle w:val="Hyperlink"/>
          </w:rPr>
          <w:t>mer Employer Response Form</w:t>
        </w:r>
      </w:hyperlink>
      <w:r w:rsidR="00FA00B8">
        <w:t xml:space="preserve"> for </w:t>
      </w:r>
      <w:r w:rsidR="00FD6F32">
        <w:t>their current/</w:t>
      </w:r>
      <w:r w:rsidR="00FA00B8">
        <w:t>former employers</w:t>
      </w:r>
      <w:r w:rsidR="00FD6F32">
        <w:t xml:space="preserve"> that fall into one of these categories</w:t>
      </w:r>
      <w:r>
        <w:t>:</w:t>
      </w:r>
    </w:p>
    <w:p w14:paraId="48B6CE14" w14:textId="5F5192EB" w:rsidR="009C1ED5" w:rsidRDefault="009C1ED5" w:rsidP="009C1ED5">
      <w:pPr>
        <w:pStyle w:val="ListParagraph"/>
        <w:numPr>
          <w:ilvl w:val="1"/>
          <w:numId w:val="2"/>
        </w:numPr>
      </w:pPr>
      <w:r>
        <w:t xml:space="preserve">The applicant’s current </w:t>
      </w:r>
      <w:proofErr w:type="gramStart"/>
      <w:r>
        <w:t>employer;</w:t>
      </w:r>
      <w:proofErr w:type="gramEnd"/>
      <w:r>
        <w:t xml:space="preserve"> </w:t>
      </w:r>
    </w:p>
    <w:p w14:paraId="280CC0CA" w14:textId="77777777" w:rsidR="009C1ED5" w:rsidRDefault="009C1ED5" w:rsidP="009C1ED5">
      <w:pPr>
        <w:pStyle w:val="ListParagraph"/>
        <w:numPr>
          <w:ilvl w:val="1"/>
          <w:numId w:val="2"/>
        </w:numPr>
      </w:pPr>
      <w:r>
        <w:t xml:space="preserve">All former employers that were schools or school contractors; and </w:t>
      </w:r>
    </w:p>
    <w:p w14:paraId="0C4CD1F7" w14:textId="07BD805E" w:rsidR="009C1ED5" w:rsidRDefault="009C1ED5" w:rsidP="009C1ED5">
      <w:pPr>
        <w:pStyle w:val="ListParagraph"/>
        <w:numPr>
          <w:ilvl w:val="1"/>
          <w:numId w:val="2"/>
        </w:numPr>
      </w:pPr>
      <w:r>
        <w:t>All former employer</w:t>
      </w:r>
      <w:r w:rsidR="00000AD2">
        <w:t>s</w:t>
      </w:r>
      <w:r>
        <w:t xml:space="preserve"> where the applicant had direct contact with children or students. </w:t>
      </w:r>
    </w:p>
    <w:p w14:paraId="087A55F4" w14:textId="77777777" w:rsidR="007C1F53" w:rsidRPr="007C1F53" w:rsidRDefault="007C1F53" w:rsidP="007C1F53">
      <w:pPr>
        <w:pStyle w:val="ListParagraph"/>
        <w:rPr>
          <w:sz w:val="20"/>
          <w:szCs w:val="20"/>
        </w:rPr>
      </w:pPr>
    </w:p>
    <w:p w14:paraId="1E93D19A" w14:textId="0761BA32" w:rsidR="00246B2C" w:rsidRDefault="00416A7C" w:rsidP="00AF3871">
      <w:pPr>
        <w:pStyle w:val="ListParagraph"/>
        <w:numPr>
          <w:ilvl w:val="0"/>
          <w:numId w:val="2"/>
        </w:numPr>
      </w:pPr>
      <w:r w:rsidRPr="00416A7C">
        <w:t>The University</w:t>
      </w:r>
      <w:r w:rsidRPr="009C1ED5">
        <w:rPr>
          <w:sz w:val="20"/>
          <w:szCs w:val="20"/>
        </w:rPr>
        <w:t xml:space="preserve"> </w:t>
      </w:r>
      <w:r w:rsidR="00E627F8">
        <w:t xml:space="preserve">must </w:t>
      </w:r>
      <w:r w:rsidR="00FD6F32">
        <w:t xml:space="preserve">send the </w:t>
      </w:r>
      <w:hyperlink r:id="rId9" w:anchor="Forms6" w:history="1">
        <w:r w:rsidR="00AF3503" w:rsidRPr="00AF3503">
          <w:rPr>
            <w:rStyle w:val="Hyperlink"/>
          </w:rPr>
          <w:t>Faith’s Law Current/Former Employer Response Form</w:t>
        </w:r>
      </w:hyperlink>
      <w:r w:rsidR="00FD6F32">
        <w:t xml:space="preserve"> to </w:t>
      </w:r>
      <w:r w:rsidR="009C1ED5">
        <w:t>each of the employers identified by an applicant</w:t>
      </w:r>
      <w:r w:rsidR="00000AD2">
        <w:t xml:space="preserve"> in the prior step</w:t>
      </w:r>
      <w:r w:rsidR="009C1ED5">
        <w:t xml:space="preserve">.  </w:t>
      </w:r>
      <w:r>
        <w:t xml:space="preserve">The information requested </w:t>
      </w:r>
      <w:r w:rsidR="00246B2C">
        <w:t xml:space="preserve">in the </w:t>
      </w:r>
      <w:r w:rsidR="00D002DA">
        <w:t>ISBE form</w:t>
      </w:r>
      <w:r w:rsidR="00246B2C">
        <w:t xml:space="preserve"> </w:t>
      </w:r>
      <w:r w:rsidR="005E43FB">
        <w:t xml:space="preserve">poses questions </w:t>
      </w:r>
      <w:r w:rsidR="001B752E">
        <w:t xml:space="preserve">about whether </w:t>
      </w:r>
      <w:r>
        <w:t>the</w:t>
      </w:r>
      <w:r w:rsidR="00677C11">
        <w:t xml:space="preserve"> applicant may have been the subject of an allegation, investigation or employment action relating to </w:t>
      </w:r>
      <w:r w:rsidR="008A4740">
        <w:t xml:space="preserve">sexual misconduct in their prior employment. </w:t>
      </w:r>
      <w:r w:rsidR="00D002DA">
        <w:t xml:space="preserve">  Employers that receive these requests for information must provide a response</w:t>
      </w:r>
      <w:r w:rsidR="00DE254A">
        <w:t xml:space="preserve"> no later than 20 days after receiving the request for information.  </w:t>
      </w:r>
    </w:p>
    <w:p w14:paraId="29AB2CB2" w14:textId="77777777" w:rsidR="00FA00B8" w:rsidRDefault="00FA00B8" w:rsidP="00FA00B8">
      <w:pPr>
        <w:pStyle w:val="ListParagraph"/>
        <w:ind w:left="1440"/>
      </w:pPr>
    </w:p>
    <w:p w14:paraId="4F6E2C83" w14:textId="77777777" w:rsidR="00AF3503" w:rsidRDefault="00FA00B8" w:rsidP="00DE254A">
      <w:pPr>
        <w:pStyle w:val="ListParagraph"/>
        <w:numPr>
          <w:ilvl w:val="0"/>
          <w:numId w:val="2"/>
        </w:numPr>
      </w:pPr>
      <w:r>
        <w:t>The University must have no knowledge or information pertaining to the applicant that would disqualify the applicant from employment.</w:t>
      </w:r>
    </w:p>
    <w:p w14:paraId="50AE77BA" w14:textId="77777777" w:rsidR="00AF3503" w:rsidRDefault="00AF3503" w:rsidP="00AF3503">
      <w:pPr>
        <w:pStyle w:val="ListParagraph"/>
      </w:pPr>
    </w:p>
    <w:p w14:paraId="31F6BDD5" w14:textId="75080329" w:rsidR="00F118B6" w:rsidRDefault="00F118B6" w:rsidP="00DE254A">
      <w:pPr>
        <w:pStyle w:val="ListParagraph"/>
        <w:numPr>
          <w:ilvl w:val="0"/>
          <w:numId w:val="2"/>
        </w:numPr>
      </w:pPr>
      <w:r>
        <w:t>The Laboratory Schools will verify employment history with the ISBE’s educator licensure database.</w:t>
      </w:r>
    </w:p>
    <w:p w14:paraId="0B3E2FE1" w14:textId="3290DFD7" w:rsidR="00DE254A" w:rsidRDefault="00FD6E93" w:rsidP="00DE254A">
      <w:r>
        <w:t xml:space="preserve">University Human Resources will collect and maintain all current/former employer responses in the individual’s personnel records and will not be considered a public record.  It may not be released under a Freedom of Information Act (“FOIA”) response.  </w:t>
      </w:r>
      <w:r w:rsidR="00FD6F32">
        <w:t xml:space="preserve">As with the Fingerprint Check, </w:t>
      </w:r>
      <w:r w:rsidR="00B75505">
        <w:t>University a</w:t>
      </w:r>
      <w:r w:rsidR="00DE254A">
        <w:t xml:space="preserve">pplicants </w:t>
      </w:r>
      <w:r w:rsidR="00FD6F32">
        <w:t>may begin their duties</w:t>
      </w:r>
      <w:r w:rsidR="2D67BD4F">
        <w:t xml:space="preserve"> after the Faith’s Law EHR has been initiated</w:t>
      </w:r>
      <w:r w:rsidR="00FD6F32">
        <w:t xml:space="preserve"> even if the Faith’s Law EHR is not </w:t>
      </w:r>
      <w:r w:rsidR="00FD6F32">
        <w:lastRenderedPageBreak/>
        <w:t>completed</w:t>
      </w:r>
      <w:r w:rsidR="546B734D">
        <w:t xml:space="preserve"> at the time the University applicant</w:t>
      </w:r>
      <w:r w:rsidR="7BCD0D20">
        <w:t>s</w:t>
      </w:r>
      <w:r w:rsidR="546B734D">
        <w:t xml:space="preserve"> begin employment</w:t>
      </w:r>
      <w:r w:rsidR="00FD6F32">
        <w:t xml:space="preserve">.  </w:t>
      </w:r>
      <w:r w:rsidR="576D7451">
        <w:t xml:space="preserve">Continued </w:t>
      </w:r>
      <w:r w:rsidR="00FD6F32">
        <w:t xml:space="preserve">employment will be conditional until the Faith’s Law EHR is completed or until required time periods have passed.  </w:t>
      </w:r>
    </w:p>
    <w:p w14:paraId="43C5C9E4" w14:textId="3C7EDBE2" w:rsidR="005E43FB" w:rsidRDefault="00393164" w:rsidP="005E43FB">
      <w:bookmarkStart w:id="0" w:name="_Hlk137711873"/>
      <w:r>
        <w:t xml:space="preserve">Please contact Human Resources at </w:t>
      </w:r>
      <w:hyperlink r:id="rId10" w:history="1">
        <w:r w:rsidRPr="00D47A6A">
          <w:rPr>
            <w:rStyle w:val="Hyperlink"/>
          </w:rPr>
          <w:t>hr@illinoisstate.edu</w:t>
        </w:r>
      </w:hyperlink>
      <w:r>
        <w:t xml:space="preserve"> or (309) 438-8311 for more information about the Faith’s Law EHR process for ISU employees. </w:t>
      </w:r>
      <w:bookmarkEnd w:id="0"/>
      <w:r>
        <w:t xml:space="preserve"> </w:t>
      </w:r>
    </w:p>
    <w:p w14:paraId="4B823DEE" w14:textId="2A648E46" w:rsidR="00393164" w:rsidRPr="00393164" w:rsidRDefault="00393164" w:rsidP="00393164">
      <w:pPr>
        <w:rPr>
          <w:i/>
          <w:iCs/>
        </w:rPr>
      </w:pPr>
      <w:r w:rsidRPr="00393164">
        <w:rPr>
          <w:i/>
          <w:iCs/>
        </w:rPr>
        <w:t xml:space="preserve">Faith’s Law </w:t>
      </w:r>
      <w:r>
        <w:rPr>
          <w:i/>
          <w:iCs/>
        </w:rPr>
        <w:t>EHR</w:t>
      </w:r>
      <w:r w:rsidRPr="00393164">
        <w:rPr>
          <w:i/>
          <w:iCs/>
        </w:rPr>
        <w:t xml:space="preserve"> &amp; Former University Employees</w:t>
      </w:r>
    </w:p>
    <w:p w14:paraId="2B8B3015" w14:textId="133B82C2" w:rsidR="00D418EE" w:rsidRDefault="00D418EE" w:rsidP="00DE254A">
      <w:r>
        <w:t xml:space="preserve">Illinois State University will also be completing </w:t>
      </w:r>
      <w:hyperlink r:id="rId11" w:anchor="Forms6" w:history="1">
        <w:r w:rsidR="00A53770" w:rsidRPr="00AF3503">
          <w:rPr>
            <w:rStyle w:val="Hyperlink"/>
          </w:rPr>
          <w:t>Faith’s Law Current/Former Employer Response Form</w:t>
        </w:r>
      </w:hyperlink>
      <w:r w:rsidR="00FD6F32">
        <w:t xml:space="preserve"> for each University </w:t>
      </w:r>
      <w:r>
        <w:t>employee</w:t>
      </w:r>
      <w:r w:rsidR="00000AD2">
        <w:t xml:space="preserve"> </w:t>
      </w:r>
      <w:r w:rsidR="00840192">
        <w:t xml:space="preserve">who had the potential of direct contact with children or students at the Laboratory Schools </w:t>
      </w:r>
      <w:r w:rsidR="00FD6F32">
        <w:t xml:space="preserve">when that employee </w:t>
      </w:r>
      <w:r w:rsidR="00000AD2">
        <w:t xml:space="preserve">separates from the University.  These forms will be the information provided to schools or school contractors requesting information </w:t>
      </w:r>
      <w:r w:rsidR="00840192">
        <w:t xml:space="preserve">under Faith’s Law </w:t>
      </w:r>
      <w:r w:rsidR="00000AD2">
        <w:t>about former University employees.</w:t>
      </w:r>
      <w:r w:rsidR="00393164">
        <w:t xml:space="preserve">  If you need to request a Faith’s Law EHR for a former University employee, please contact Human Resources at </w:t>
      </w:r>
      <w:hyperlink r:id="rId12" w:history="1">
        <w:r w:rsidR="00393164" w:rsidRPr="00D47A6A">
          <w:rPr>
            <w:rStyle w:val="Hyperlink"/>
          </w:rPr>
          <w:t>hr@illinoisstate.edu</w:t>
        </w:r>
      </w:hyperlink>
      <w:r w:rsidR="00393164">
        <w:t xml:space="preserve"> or (309) 438-8311.</w:t>
      </w:r>
    </w:p>
    <w:sectPr w:rsidR="00D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CCF9" w14:textId="77777777" w:rsidR="00BC312D" w:rsidRDefault="00BC312D" w:rsidP="00B75505">
      <w:pPr>
        <w:spacing w:after="0" w:line="240" w:lineRule="auto"/>
      </w:pPr>
      <w:r>
        <w:separator/>
      </w:r>
    </w:p>
  </w:endnote>
  <w:endnote w:type="continuationSeparator" w:id="0">
    <w:p w14:paraId="25EF6824" w14:textId="77777777" w:rsidR="00BC312D" w:rsidRDefault="00BC312D" w:rsidP="00B75505">
      <w:pPr>
        <w:spacing w:after="0" w:line="240" w:lineRule="auto"/>
      </w:pPr>
      <w:r>
        <w:continuationSeparator/>
      </w:r>
    </w:p>
  </w:endnote>
  <w:endnote w:type="continuationNotice" w:id="1">
    <w:p w14:paraId="447DB14C" w14:textId="77777777" w:rsidR="00BC312D" w:rsidRDefault="00BC3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U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DE34" w14:textId="77777777" w:rsidR="00BC312D" w:rsidRDefault="00BC312D" w:rsidP="00B75505">
      <w:pPr>
        <w:spacing w:after="0" w:line="240" w:lineRule="auto"/>
      </w:pPr>
      <w:r>
        <w:separator/>
      </w:r>
    </w:p>
  </w:footnote>
  <w:footnote w:type="continuationSeparator" w:id="0">
    <w:p w14:paraId="47FC69C5" w14:textId="77777777" w:rsidR="00BC312D" w:rsidRDefault="00BC312D" w:rsidP="00B75505">
      <w:pPr>
        <w:spacing w:after="0" w:line="240" w:lineRule="auto"/>
      </w:pPr>
      <w:r>
        <w:continuationSeparator/>
      </w:r>
    </w:p>
  </w:footnote>
  <w:footnote w:type="continuationNotice" w:id="1">
    <w:p w14:paraId="7BB29FE7" w14:textId="77777777" w:rsidR="00BC312D" w:rsidRDefault="00BC31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225"/>
    <w:multiLevelType w:val="hybridMultilevel"/>
    <w:tmpl w:val="59AC8E48"/>
    <w:lvl w:ilvl="0" w:tplc="21E802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ED749C"/>
    <w:multiLevelType w:val="hybridMultilevel"/>
    <w:tmpl w:val="3EA010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22033"/>
    <w:multiLevelType w:val="hybridMultilevel"/>
    <w:tmpl w:val="10F86BB8"/>
    <w:lvl w:ilvl="0" w:tplc="E376B56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1" w:tplc="342CD1D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BA306F4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7A6309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0C800AE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8D86D7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8DC095F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F49E11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13CA9B4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5C12C6"/>
    <w:multiLevelType w:val="multilevel"/>
    <w:tmpl w:val="BB2065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23399"/>
    <w:multiLevelType w:val="hybridMultilevel"/>
    <w:tmpl w:val="3EA01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938CE"/>
    <w:multiLevelType w:val="hybridMultilevel"/>
    <w:tmpl w:val="C620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6672">
    <w:abstractNumId w:val="3"/>
  </w:num>
  <w:num w:numId="2" w16cid:durableId="1391804602">
    <w:abstractNumId w:val="4"/>
  </w:num>
  <w:num w:numId="3" w16cid:durableId="395864357">
    <w:abstractNumId w:val="5"/>
  </w:num>
  <w:num w:numId="4" w16cid:durableId="838085978">
    <w:abstractNumId w:val="0"/>
  </w:num>
  <w:num w:numId="5" w16cid:durableId="1169760017">
    <w:abstractNumId w:val="1"/>
  </w:num>
  <w:num w:numId="6" w16cid:durableId="54730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B5"/>
    <w:rsid w:val="00000AD2"/>
    <w:rsid w:val="00022FA5"/>
    <w:rsid w:val="0002552F"/>
    <w:rsid w:val="000363D8"/>
    <w:rsid w:val="000F6127"/>
    <w:rsid w:val="00161A52"/>
    <w:rsid w:val="001B752E"/>
    <w:rsid w:val="001E4A82"/>
    <w:rsid w:val="00210E08"/>
    <w:rsid w:val="00246B2C"/>
    <w:rsid w:val="00300CB5"/>
    <w:rsid w:val="00317BBE"/>
    <w:rsid w:val="00393164"/>
    <w:rsid w:val="00401FE7"/>
    <w:rsid w:val="00407403"/>
    <w:rsid w:val="00416A7C"/>
    <w:rsid w:val="00423E26"/>
    <w:rsid w:val="004A695A"/>
    <w:rsid w:val="00552B1C"/>
    <w:rsid w:val="00570E85"/>
    <w:rsid w:val="00587945"/>
    <w:rsid w:val="005C5426"/>
    <w:rsid w:val="005D2E17"/>
    <w:rsid w:val="005E43FB"/>
    <w:rsid w:val="005F7D29"/>
    <w:rsid w:val="00663F54"/>
    <w:rsid w:val="00675C1B"/>
    <w:rsid w:val="00677C11"/>
    <w:rsid w:val="00694340"/>
    <w:rsid w:val="00703401"/>
    <w:rsid w:val="00763F5F"/>
    <w:rsid w:val="007C1F53"/>
    <w:rsid w:val="00840192"/>
    <w:rsid w:val="00864722"/>
    <w:rsid w:val="00892C3F"/>
    <w:rsid w:val="008A4740"/>
    <w:rsid w:val="008A6C0D"/>
    <w:rsid w:val="008D47B5"/>
    <w:rsid w:val="008F5611"/>
    <w:rsid w:val="009506A5"/>
    <w:rsid w:val="00984E31"/>
    <w:rsid w:val="00992D4A"/>
    <w:rsid w:val="009A2C66"/>
    <w:rsid w:val="009C1ED5"/>
    <w:rsid w:val="00A03D2E"/>
    <w:rsid w:val="00A53770"/>
    <w:rsid w:val="00A91A19"/>
    <w:rsid w:val="00A9264F"/>
    <w:rsid w:val="00AA358B"/>
    <w:rsid w:val="00AF3503"/>
    <w:rsid w:val="00B73866"/>
    <w:rsid w:val="00B75505"/>
    <w:rsid w:val="00BC312D"/>
    <w:rsid w:val="00BD2EDA"/>
    <w:rsid w:val="00C64107"/>
    <w:rsid w:val="00CA315B"/>
    <w:rsid w:val="00CE330D"/>
    <w:rsid w:val="00CE66E8"/>
    <w:rsid w:val="00D002DA"/>
    <w:rsid w:val="00D418EE"/>
    <w:rsid w:val="00D458DC"/>
    <w:rsid w:val="00D80178"/>
    <w:rsid w:val="00DE254A"/>
    <w:rsid w:val="00DF2131"/>
    <w:rsid w:val="00DF72A8"/>
    <w:rsid w:val="00E160A5"/>
    <w:rsid w:val="00E2560D"/>
    <w:rsid w:val="00E627F8"/>
    <w:rsid w:val="00EC43A8"/>
    <w:rsid w:val="00F02B11"/>
    <w:rsid w:val="00F118B6"/>
    <w:rsid w:val="00F67739"/>
    <w:rsid w:val="00F97BE0"/>
    <w:rsid w:val="00FA00B8"/>
    <w:rsid w:val="00FD0B72"/>
    <w:rsid w:val="00FD6E93"/>
    <w:rsid w:val="00FD6F32"/>
    <w:rsid w:val="00FE075F"/>
    <w:rsid w:val="0B7418D4"/>
    <w:rsid w:val="21BAC01B"/>
    <w:rsid w:val="2D67BD4F"/>
    <w:rsid w:val="31DDC684"/>
    <w:rsid w:val="36721D34"/>
    <w:rsid w:val="36DB3A2F"/>
    <w:rsid w:val="546B734D"/>
    <w:rsid w:val="55D1A3F0"/>
    <w:rsid w:val="576D7451"/>
    <w:rsid w:val="602202B7"/>
    <w:rsid w:val="69C300DA"/>
    <w:rsid w:val="79F681FB"/>
    <w:rsid w:val="7BC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CC0B"/>
  <w15:docId w15:val="{6E15F9BF-4B27-44BD-A4DA-67F5DDF5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00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0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0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CB5"/>
    <w:rPr>
      <w:b/>
      <w:bCs/>
    </w:rPr>
  </w:style>
  <w:style w:type="character" w:styleId="Hyperlink">
    <w:name w:val="Hyperlink"/>
    <w:basedOn w:val="DefaultParagraphFont"/>
    <w:uiPriority w:val="99"/>
    <w:unhideWhenUsed/>
    <w:rsid w:val="00300CB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00C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4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740"/>
    <w:rPr>
      <w:b/>
      <w:bCs/>
      <w:sz w:val="20"/>
      <w:szCs w:val="20"/>
    </w:rPr>
  </w:style>
  <w:style w:type="paragraph" w:customStyle="1" w:styleId="Default">
    <w:name w:val="Default"/>
    <w:rsid w:val="008A47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25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505"/>
  </w:style>
  <w:style w:type="paragraph" w:styleId="Footer">
    <w:name w:val="footer"/>
    <w:basedOn w:val="Normal"/>
    <w:link w:val="FooterChar"/>
    <w:uiPriority w:val="99"/>
    <w:unhideWhenUsed/>
    <w:rsid w:val="00B7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505"/>
  </w:style>
  <w:style w:type="character" w:styleId="HTMLCode">
    <w:name w:val="HTML Code"/>
    <w:basedOn w:val="DefaultParagraphFont"/>
    <w:uiPriority w:val="99"/>
    <w:semiHidden/>
    <w:unhideWhenUsed/>
    <w:rsid w:val="00C641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illinoisstate.edu/for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illinoisstate.edu/forms/" TargetMode="External"/><Relationship Id="rId12" Type="http://schemas.openxmlformats.org/officeDocument/2006/relationships/hyperlink" Target="mailto:hr@illinois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.illinoisstate.edu/form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@illinois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illinoisstate.edu/for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Links>
    <vt:vector size="24" baseType="variant">
      <vt:variant>
        <vt:i4>1638440</vt:i4>
      </vt:variant>
      <vt:variant>
        <vt:i4>9</vt:i4>
      </vt:variant>
      <vt:variant>
        <vt:i4>0</vt:i4>
      </vt:variant>
      <vt:variant>
        <vt:i4>5</vt:i4>
      </vt:variant>
      <vt:variant>
        <vt:lpwstr>mailto:hr@illinoisstate.edu</vt:lpwstr>
      </vt:variant>
      <vt:variant>
        <vt:lpwstr/>
      </vt:variant>
      <vt:variant>
        <vt:i4>1638440</vt:i4>
      </vt:variant>
      <vt:variant>
        <vt:i4>6</vt:i4>
      </vt:variant>
      <vt:variant>
        <vt:i4>0</vt:i4>
      </vt:variant>
      <vt:variant>
        <vt:i4>5</vt:i4>
      </vt:variant>
      <vt:variant>
        <vt:lpwstr>mailto:hr@illinoisstate.edu</vt:lpwstr>
      </vt:variant>
      <vt:variant>
        <vt:lpwstr/>
      </vt:variant>
      <vt:variant>
        <vt:i4>5570591</vt:i4>
      </vt:variant>
      <vt:variant>
        <vt:i4>3</vt:i4>
      </vt:variant>
      <vt:variant>
        <vt:i4>0</vt:i4>
      </vt:variant>
      <vt:variant>
        <vt:i4>5</vt:i4>
      </vt:variant>
      <vt:variant>
        <vt:lpwstr>https://hr.illinoisstate.edu/forms/</vt:lpwstr>
      </vt:variant>
      <vt:variant>
        <vt:lpwstr>Forms6</vt:lpwstr>
      </vt:variant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https://hr.illinoisstate.edu/forms/</vt:lpwstr>
      </vt:variant>
      <vt:variant>
        <vt:lpwstr>Forms6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Maginnis, Alice</dc:creator>
  <cp:keywords/>
  <dc:description/>
  <cp:lastModifiedBy>Maginnis, Alice</cp:lastModifiedBy>
  <cp:revision>28</cp:revision>
  <dcterms:created xsi:type="dcterms:W3CDTF">2023-06-15T17:29:00Z</dcterms:created>
  <dcterms:modified xsi:type="dcterms:W3CDTF">2023-06-26T15:19:00Z</dcterms:modified>
</cp:coreProperties>
</file>