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F598" w14:textId="16264C8A" w:rsidR="00302340" w:rsidRPr="00484FC1" w:rsidRDefault="00302340" w:rsidP="00302340">
      <w:pPr>
        <w:jc w:val="center"/>
        <w:rPr>
          <w:rFonts w:ascii="Garamond" w:hAnsi="Garamond"/>
          <w:b/>
          <w:sz w:val="24"/>
          <w:szCs w:val="24"/>
        </w:rPr>
      </w:pPr>
      <w:r w:rsidRPr="00484FC1">
        <w:rPr>
          <w:rFonts w:ascii="Garamond" w:hAnsi="Garamond"/>
          <w:b/>
          <w:sz w:val="24"/>
          <w:szCs w:val="24"/>
        </w:rPr>
        <w:t>Leadership for Equity (LFE) Micro-Credentials</w:t>
      </w:r>
      <w:r w:rsidR="00BD5F9E" w:rsidRPr="00484FC1">
        <w:rPr>
          <w:rFonts w:ascii="Garamond" w:hAnsi="Garamond"/>
          <w:b/>
          <w:sz w:val="24"/>
          <w:szCs w:val="24"/>
        </w:rPr>
        <w:br/>
        <w:t>Building Leaders Series</w:t>
      </w:r>
    </w:p>
    <w:p w14:paraId="1F191363" w14:textId="5224198F" w:rsidR="0022325C" w:rsidRPr="00484FC1" w:rsidRDefault="00302340" w:rsidP="00A33A7E">
      <w:pPr>
        <w:tabs>
          <w:tab w:val="num" w:pos="720"/>
        </w:tabs>
        <w:spacing w:after="0" w:line="240" w:lineRule="auto"/>
        <w:rPr>
          <w:rFonts w:ascii="Garamond" w:hAnsi="Garamond" w:cs="Times New Roman"/>
          <w:sz w:val="24"/>
          <w:szCs w:val="24"/>
        </w:rPr>
      </w:pPr>
      <w:r w:rsidRPr="00484FC1">
        <w:rPr>
          <w:rFonts w:ascii="Garamond" w:hAnsi="Garamond" w:cs="Times New Roman"/>
          <w:sz w:val="24"/>
          <w:szCs w:val="24"/>
        </w:rPr>
        <w:t xml:space="preserve">Through funding from </w:t>
      </w:r>
      <w:r w:rsidR="00484FC1">
        <w:rPr>
          <w:rFonts w:ascii="Garamond" w:hAnsi="Garamond" w:cs="Times New Roman"/>
          <w:sz w:val="24"/>
          <w:szCs w:val="24"/>
        </w:rPr>
        <w:t xml:space="preserve">a </w:t>
      </w:r>
      <w:r w:rsidR="00484FC1" w:rsidRPr="00CD4759">
        <w:rPr>
          <w:rFonts w:ascii="Garamond" w:hAnsi="Garamond" w:cs="Times New Roman"/>
          <w:b/>
          <w:sz w:val="24"/>
          <w:szCs w:val="24"/>
        </w:rPr>
        <w:t xml:space="preserve">USDE Supporting Effective Educator Development (SEED) </w:t>
      </w:r>
      <w:r w:rsidR="00484FC1">
        <w:rPr>
          <w:rFonts w:ascii="Garamond" w:hAnsi="Garamond" w:cs="Times New Roman"/>
          <w:sz w:val="24"/>
          <w:szCs w:val="24"/>
        </w:rPr>
        <w:t>grant</w:t>
      </w:r>
      <w:r w:rsidRPr="00484FC1">
        <w:rPr>
          <w:rFonts w:ascii="Garamond" w:hAnsi="Garamond" w:cs="Times New Roman"/>
          <w:sz w:val="24"/>
          <w:szCs w:val="24"/>
        </w:rPr>
        <w:t xml:space="preserve"> and support from </w:t>
      </w:r>
      <w:r w:rsidR="00BD5F9E" w:rsidRPr="00484FC1">
        <w:rPr>
          <w:rFonts w:ascii="Garamond" w:hAnsi="Garamond" w:cs="Times New Roman"/>
          <w:sz w:val="24"/>
          <w:szCs w:val="24"/>
        </w:rPr>
        <w:t xml:space="preserve">the </w:t>
      </w:r>
      <w:r w:rsidR="00EC44B7" w:rsidRPr="00CD4759">
        <w:rPr>
          <w:rFonts w:ascii="Garamond" w:hAnsi="Garamond" w:cs="Arial"/>
          <w:b/>
          <w:color w:val="000000" w:themeColor="text1"/>
          <w:sz w:val="24"/>
          <w:szCs w:val="24"/>
        </w:rPr>
        <w:t>W.</w:t>
      </w:r>
      <w:r w:rsidR="00EC44B7" w:rsidRPr="00CD4759">
        <w:rPr>
          <w:rFonts w:ascii="Garamond" w:hAnsi="Garamond" w:cs="Arial"/>
          <w:color w:val="000000" w:themeColor="text1"/>
          <w:sz w:val="24"/>
          <w:szCs w:val="24"/>
        </w:rPr>
        <w:t xml:space="preserve"> </w:t>
      </w:r>
      <w:r w:rsidR="00EC44B7" w:rsidRPr="00CD4759">
        <w:rPr>
          <w:rStyle w:val="Strong"/>
          <w:rFonts w:ascii="Garamond" w:hAnsi="Garamond" w:cs="Arial"/>
          <w:color w:val="000000" w:themeColor="text1"/>
          <w:sz w:val="24"/>
          <w:szCs w:val="24"/>
        </w:rPr>
        <w:t>Clement</w:t>
      </w:r>
      <w:r w:rsidR="00EC44B7" w:rsidRPr="00CD4759">
        <w:rPr>
          <w:rFonts w:ascii="Garamond" w:hAnsi="Garamond" w:cs="Arial"/>
          <w:color w:val="000000" w:themeColor="text1"/>
          <w:sz w:val="24"/>
          <w:szCs w:val="24"/>
        </w:rPr>
        <w:t xml:space="preserve"> </w:t>
      </w:r>
      <w:r w:rsidR="00EC44B7" w:rsidRPr="00CD4759">
        <w:rPr>
          <w:rFonts w:ascii="Garamond" w:hAnsi="Garamond" w:cs="Arial"/>
          <w:b/>
          <w:color w:val="000000" w:themeColor="text1"/>
          <w:sz w:val="24"/>
          <w:szCs w:val="24"/>
        </w:rPr>
        <w:t>&amp;</w:t>
      </w:r>
      <w:r w:rsidR="00EC44B7" w:rsidRPr="00CD4759">
        <w:rPr>
          <w:rFonts w:ascii="Garamond" w:hAnsi="Garamond" w:cs="Arial"/>
          <w:color w:val="000000" w:themeColor="text1"/>
          <w:sz w:val="24"/>
          <w:szCs w:val="24"/>
        </w:rPr>
        <w:t xml:space="preserve"> </w:t>
      </w:r>
      <w:r w:rsidR="00EC44B7" w:rsidRPr="00CD4759">
        <w:rPr>
          <w:rStyle w:val="Strong"/>
          <w:rFonts w:ascii="Garamond" w:hAnsi="Garamond" w:cs="Arial"/>
          <w:color w:val="000000" w:themeColor="text1"/>
          <w:sz w:val="24"/>
          <w:szCs w:val="24"/>
        </w:rPr>
        <w:t>Jessie V</w:t>
      </w:r>
      <w:r w:rsidR="00EC44B7" w:rsidRPr="00CD4759">
        <w:rPr>
          <w:rFonts w:ascii="Garamond" w:hAnsi="Garamond" w:cs="Arial"/>
          <w:color w:val="000000" w:themeColor="text1"/>
          <w:sz w:val="24"/>
          <w:szCs w:val="24"/>
        </w:rPr>
        <w:t xml:space="preserve">. </w:t>
      </w:r>
      <w:r w:rsidR="00EC44B7" w:rsidRPr="00CD4759">
        <w:rPr>
          <w:rStyle w:val="Strong"/>
          <w:rFonts w:ascii="Garamond" w:hAnsi="Garamond" w:cs="Arial"/>
          <w:color w:val="000000" w:themeColor="text1"/>
          <w:sz w:val="24"/>
          <w:szCs w:val="24"/>
        </w:rPr>
        <w:t>Stone Foundation</w:t>
      </w:r>
      <w:r w:rsidRPr="00484FC1">
        <w:rPr>
          <w:rFonts w:ascii="Garamond" w:hAnsi="Garamond" w:cs="Times New Roman"/>
          <w:sz w:val="24"/>
          <w:szCs w:val="24"/>
        </w:rPr>
        <w:t xml:space="preserve">, the </w:t>
      </w:r>
      <w:r w:rsidRPr="00CD4759">
        <w:rPr>
          <w:rFonts w:ascii="Garamond" w:hAnsi="Garamond" w:cs="Times New Roman"/>
          <w:b/>
          <w:sz w:val="24"/>
          <w:szCs w:val="24"/>
        </w:rPr>
        <w:t>Center for the Study of Education Policy (CSEP)</w:t>
      </w:r>
      <w:r w:rsidRPr="00484FC1">
        <w:rPr>
          <w:rFonts w:ascii="Garamond" w:hAnsi="Garamond" w:cs="Times New Roman"/>
          <w:sz w:val="24"/>
          <w:szCs w:val="24"/>
        </w:rPr>
        <w:t xml:space="preserve"> at Illinois State University has partnered with the </w:t>
      </w:r>
      <w:r w:rsidRPr="00CD4759">
        <w:rPr>
          <w:rFonts w:ascii="Garamond" w:hAnsi="Garamond" w:cs="Times New Roman"/>
          <w:b/>
          <w:sz w:val="24"/>
          <w:szCs w:val="24"/>
        </w:rPr>
        <w:t>Tennessee Department of Education</w:t>
      </w:r>
      <w:r w:rsidRPr="00484FC1">
        <w:rPr>
          <w:rFonts w:ascii="Garamond" w:hAnsi="Garamond" w:cs="Times New Roman"/>
          <w:sz w:val="24"/>
          <w:szCs w:val="24"/>
        </w:rPr>
        <w:t xml:space="preserve">, </w:t>
      </w:r>
      <w:r w:rsidRPr="00CD4759">
        <w:rPr>
          <w:rFonts w:ascii="Garamond" w:hAnsi="Garamond" w:cs="Times New Roman"/>
          <w:b/>
          <w:sz w:val="24"/>
          <w:szCs w:val="24"/>
        </w:rPr>
        <w:t>American Institute for Research (AIR)</w:t>
      </w:r>
      <w:r w:rsidRPr="00484FC1">
        <w:rPr>
          <w:rFonts w:ascii="Garamond" w:hAnsi="Garamond" w:cs="Times New Roman"/>
          <w:sz w:val="24"/>
          <w:szCs w:val="24"/>
        </w:rPr>
        <w:t xml:space="preserve"> and </w:t>
      </w:r>
      <w:r w:rsidRPr="00CD4759">
        <w:rPr>
          <w:rFonts w:ascii="Garamond" w:hAnsi="Garamond" w:cs="Times New Roman"/>
          <w:b/>
          <w:sz w:val="24"/>
          <w:szCs w:val="24"/>
        </w:rPr>
        <w:t>BloomBoard</w:t>
      </w:r>
      <w:r w:rsidRPr="00484FC1">
        <w:rPr>
          <w:rFonts w:ascii="Garamond" w:hAnsi="Garamond" w:cs="Times New Roman"/>
          <w:sz w:val="24"/>
          <w:szCs w:val="24"/>
        </w:rPr>
        <w:t xml:space="preserve"> to develop and sustain the Leadership for Equity (LFE) Micro-Credential Cluster</w:t>
      </w:r>
      <w:r w:rsidR="00E52141" w:rsidRPr="00484FC1">
        <w:rPr>
          <w:rFonts w:ascii="Garamond" w:hAnsi="Garamond" w:cs="Times New Roman"/>
          <w:sz w:val="24"/>
          <w:szCs w:val="24"/>
        </w:rPr>
        <w:t xml:space="preserve"> for Building Leaders</w:t>
      </w:r>
      <w:r w:rsidRPr="00484FC1">
        <w:rPr>
          <w:rFonts w:ascii="Garamond" w:hAnsi="Garamond" w:cs="Times New Roman"/>
          <w:sz w:val="24"/>
          <w:szCs w:val="24"/>
        </w:rPr>
        <w:t>.  The LFE MC is based on Tennessee’s Leadership for Equity Playbook (</w:t>
      </w:r>
      <w:hyperlink r:id="rId8" w:history="1">
        <w:r w:rsidRPr="00484FC1">
          <w:rPr>
            <w:rStyle w:val="Hyperlink"/>
            <w:rFonts w:ascii="Garamond" w:hAnsi="Garamond" w:cs="Times New Roman"/>
            <w:sz w:val="24"/>
            <w:szCs w:val="24"/>
          </w:rPr>
          <w:t>https://www.tn.gov/content/dam/tn/education/reports/Tennessee-Leaders-for-Equity-Playbook.pdf</w:t>
        </w:r>
      </w:hyperlink>
      <w:r w:rsidRPr="00484FC1">
        <w:rPr>
          <w:rFonts w:ascii="Garamond" w:hAnsi="Garamond" w:cs="Times New Roman"/>
          <w:sz w:val="24"/>
          <w:szCs w:val="24"/>
        </w:rPr>
        <w:t xml:space="preserve">), funded through support from </w:t>
      </w:r>
      <w:r w:rsidRPr="00CD4759">
        <w:rPr>
          <w:rFonts w:ascii="Garamond" w:hAnsi="Garamond" w:cs="Times New Roman"/>
          <w:b/>
          <w:color w:val="000000" w:themeColor="text1"/>
          <w:sz w:val="24"/>
          <w:szCs w:val="24"/>
        </w:rPr>
        <w:t>The Wallace Foundation</w:t>
      </w:r>
      <w:r w:rsidRPr="00484FC1">
        <w:rPr>
          <w:rFonts w:ascii="Garamond" w:hAnsi="Garamond" w:cs="Times New Roman"/>
          <w:sz w:val="24"/>
          <w:szCs w:val="24"/>
        </w:rPr>
        <w:t>, and aligns with the Professional Standards for Educational Leadership (PSEL).</w:t>
      </w:r>
    </w:p>
    <w:p w14:paraId="78ECA7B5" w14:textId="655DFEB5" w:rsidR="00775AE5" w:rsidRPr="00484FC1" w:rsidRDefault="00775AE5" w:rsidP="00A33A7E">
      <w:pPr>
        <w:tabs>
          <w:tab w:val="num" w:pos="720"/>
        </w:tabs>
        <w:spacing w:after="0" w:line="240" w:lineRule="auto"/>
        <w:rPr>
          <w:rFonts w:ascii="Garamond" w:hAnsi="Garamond" w:cs="Times New Roman"/>
          <w:sz w:val="24"/>
          <w:szCs w:val="24"/>
        </w:rPr>
      </w:pPr>
    </w:p>
    <w:p w14:paraId="0907C373" w14:textId="54C36E72" w:rsidR="00E52141" w:rsidRPr="00484FC1" w:rsidRDefault="00CD4759" w:rsidP="00CD4759">
      <w:pPr>
        <w:tabs>
          <w:tab w:val="num" w:pos="720"/>
        </w:tabs>
        <w:spacing w:after="0" w:line="240" w:lineRule="auto"/>
        <w:jc w:val="center"/>
        <w:rPr>
          <w:rFonts w:ascii="Garamond" w:hAnsi="Garamond" w:cs="Times New Roman"/>
          <w:sz w:val="24"/>
          <w:szCs w:val="24"/>
        </w:rPr>
      </w:pPr>
      <w:r w:rsidRPr="00C602E8">
        <w:drawing>
          <wp:inline distT="0" distB="0" distL="0" distR="0" wp14:anchorId="6870F150" wp14:editId="5922E9BC">
            <wp:extent cx="6473952" cy="63093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230" t="24999" r="30770" b="5556"/>
                    <a:stretch/>
                  </pic:blipFill>
                  <pic:spPr bwMode="auto">
                    <a:xfrm>
                      <a:off x="0" y="0"/>
                      <a:ext cx="6473952" cy="6309360"/>
                    </a:xfrm>
                    <a:prstGeom prst="rect">
                      <a:avLst/>
                    </a:prstGeom>
                    <a:ln>
                      <a:noFill/>
                    </a:ln>
                    <a:extLst>
                      <a:ext uri="{53640926-AAD7-44D8-BBD7-CCE9431645EC}">
                        <a14:shadowObscured xmlns:a14="http://schemas.microsoft.com/office/drawing/2010/main"/>
                      </a:ext>
                    </a:extLst>
                  </pic:spPr>
                </pic:pic>
              </a:graphicData>
            </a:graphic>
          </wp:inline>
        </w:drawing>
      </w:r>
    </w:p>
    <w:p w14:paraId="6A6AC6BD" w14:textId="7385DEC5" w:rsidR="00B235CD" w:rsidRPr="001F1D8E" w:rsidRDefault="00302340" w:rsidP="00A33A7E">
      <w:pPr>
        <w:tabs>
          <w:tab w:val="num" w:pos="720"/>
        </w:tabs>
        <w:spacing w:after="0" w:line="240" w:lineRule="auto"/>
        <w:rPr>
          <w:rFonts w:ascii="Garamond" w:hAnsi="Garamond" w:cs="Times New Roman"/>
          <w:sz w:val="24"/>
          <w:szCs w:val="24"/>
        </w:rPr>
      </w:pPr>
      <w:r w:rsidRPr="001F1D8E">
        <w:rPr>
          <w:rFonts w:ascii="Garamond" w:hAnsi="Garamond" w:cs="Times New Roman"/>
          <w:sz w:val="24"/>
          <w:szCs w:val="24"/>
        </w:rPr>
        <w:lastRenderedPageBreak/>
        <w:t xml:space="preserve">The LFE MCs were developed </w:t>
      </w:r>
      <w:r w:rsidR="00484FC1">
        <w:rPr>
          <w:rFonts w:ascii="Garamond" w:hAnsi="Garamond" w:cs="Times New Roman"/>
          <w:sz w:val="24"/>
          <w:szCs w:val="24"/>
        </w:rPr>
        <w:t>by a</w:t>
      </w:r>
      <w:r w:rsidRPr="001F1D8E">
        <w:rPr>
          <w:rFonts w:ascii="Garamond" w:hAnsi="Garamond" w:cs="Times New Roman"/>
          <w:sz w:val="24"/>
          <w:szCs w:val="24"/>
        </w:rPr>
        <w:t xml:space="preserve"> design team made up of over 25 people from Illinois and Tennessee and other regions representing higher education, K-12 schools, and research organizations. In December 2018</w:t>
      </w:r>
      <w:r w:rsidR="00484FC1">
        <w:rPr>
          <w:rFonts w:ascii="Garamond" w:hAnsi="Garamond" w:cs="Times New Roman"/>
          <w:sz w:val="24"/>
          <w:szCs w:val="24"/>
        </w:rPr>
        <w:t>-</w:t>
      </w:r>
      <w:r w:rsidRPr="001F1D8E">
        <w:rPr>
          <w:rFonts w:ascii="Garamond" w:hAnsi="Garamond" w:cs="Times New Roman"/>
          <w:sz w:val="24"/>
          <w:szCs w:val="24"/>
        </w:rPr>
        <w:t xml:space="preserve">January 2019, AIR conducted </w:t>
      </w:r>
      <w:r w:rsidR="001F1D8E">
        <w:rPr>
          <w:rFonts w:ascii="Garamond" w:hAnsi="Garamond" w:cs="Times New Roman"/>
          <w:sz w:val="24"/>
          <w:szCs w:val="24"/>
        </w:rPr>
        <w:t>two</w:t>
      </w:r>
      <w:r w:rsidRPr="001F1D8E">
        <w:rPr>
          <w:rFonts w:ascii="Garamond" w:hAnsi="Garamond" w:cs="Times New Roman"/>
          <w:sz w:val="24"/>
          <w:szCs w:val="24"/>
        </w:rPr>
        <w:t xml:space="preserve"> </w:t>
      </w:r>
      <w:r w:rsidR="00484FC1">
        <w:rPr>
          <w:rFonts w:ascii="Garamond" w:hAnsi="Garamond" w:cs="Times New Roman"/>
          <w:sz w:val="24"/>
          <w:szCs w:val="24"/>
        </w:rPr>
        <w:t>f</w:t>
      </w:r>
      <w:r w:rsidRPr="001F1D8E">
        <w:rPr>
          <w:rFonts w:ascii="Garamond" w:hAnsi="Garamond" w:cs="Times New Roman"/>
          <w:sz w:val="24"/>
          <w:szCs w:val="24"/>
        </w:rPr>
        <w:t xml:space="preserve">ocus </w:t>
      </w:r>
      <w:r w:rsidR="00484FC1">
        <w:rPr>
          <w:rFonts w:ascii="Garamond" w:hAnsi="Garamond" w:cs="Times New Roman"/>
          <w:sz w:val="24"/>
          <w:szCs w:val="24"/>
        </w:rPr>
        <w:t>g</w:t>
      </w:r>
      <w:r w:rsidRPr="001F1D8E">
        <w:rPr>
          <w:rFonts w:ascii="Garamond" w:hAnsi="Garamond" w:cs="Times New Roman"/>
          <w:sz w:val="24"/>
          <w:szCs w:val="24"/>
        </w:rPr>
        <w:t>roups with 24 experienced principals from Illinois and Tennessee with deep understanding of educational equity. Focus group members reviewed the four LFE micro-credential competencies and indicators</w:t>
      </w:r>
      <w:r w:rsidR="00484FC1">
        <w:rPr>
          <w:rFonts w:ascii="Garamond" w:hAnsi="Garamond" w:cs="Times New Roman"/>
          <w:sz w:val="24"/>
          <w:szCs w:val="24"/>
        </w:rPr>
        <w:t xml:space="preserve"> and</w:t>
      </w:r>
      <w:r w:rsidRPr="001F1D8E">
        <w:rPr>
          <w:rFonts w:ascii="Garamond" w:hAnsi="Garamond" w:cs="Times New Roman"/>
          <w:sz w:val="24"/>
          <w:szCs w:val="24"/>
        </w:rPr>
        <w:t xml:space="preserve"> answered questions such as: </w:t>
      </w:r>
    </w:p>
    <w:p w14:paraId="1D572E0F" w14:textId="77777777" w:rsidR="00B235CD" w:rsidRPr="001F1D8E" w:rsidRDefault="00302340" w:rsidP="00302340">
      <w:pPr>
        <w:numPr>
          <w:ilvl w:val="0"/>
          <w:numId w:val="1"/>
        </w:numPr>
        <w:spacing w:after="0" w:line="240" w:lineRule="auto"/>
        <w:rPr>
          <w:rFonts w:ascii="Garamond" w:hAnsi="Garamond" w:cs="Times New Roman"/>
          <w:sz w:val="24"/>
          <w:szCs w:val="24"/>
        </w:rPr>
      </w:pPr>
      <w:r w:rsidRPr="001F1D8E">
        <w:rPr>
          <w:rFonts w:ascii="Garamond" w:hAnsi="Garamond" w:cs="Times New Roman"/>
          <w:sz w:val="24"/>
          <w:szCs w:val="24"/>
        </w:rPr>
        <w:t>Do these competencies represent an essential practice in principals' work? </w:t>
      </w:r>
    </w:p>
    <w:p w14:paraId="348EB06B" w14:textId="77777777" w:rsidR="00B235CD" w:rsidRPr="001F1D8E" w:rsidRDefault="00302340" w:rsidP="00302340">
      <w:pPr>
        <w:numPr>
          <w:ilvl w:val="0"/>
          <w:numId w:val="1"/>
        </w:numPr>
        <w:spacing w:after="0" w:line="240" w:lineRule="auto"/>
        <w:rPr>
          <w:rFonts w:ascii="Garamond" w:hAnsi="Garamond" w:cs="Times New Roman"/>
          <w:sz w:val="24"/>
          <w:szCs w:val="24"/>
        </w:rPr>
      </w:pPr>
      <w:r w:rsidRPr="001F1D8E">
        <w:rPr>
          <w:rFonts w:ascii="Garamond" w:hAnsi="Garamond" w:cs="Times New Roman"/>
          <w:sz w:val="24"/>
          <w:szCs w:val="24"/>
        </w:rPr>
        <w:t>If principals exhibit these competencies, are they considered strong equity leaders? </w:t>
      </w:r>
    </w:p>
    <w:p w14:paraId="6112D0D6" w14:textId="4430C33B" w:rsidR="00302340" w:rsidRPr="001F1D8E" w:rsidRDefault="00302340" w:rsidP="00302340">
      <w:pPr>
        <w:numPr>
          <w:ilvl w:val="0"/>
          <w:numId w:val="1"/>
        </w:numPr>
        <w:spacing w:after="0" w:line="240" w:lineRule="auto"/>
        <w:rPr>
          <w:rFonts w:ascii="Garamond" w:hAnsi="Garamond" w:cs="Times New Roman"/>
          <w:sz w:val="24"/>
          <w:szCs w:val="24"/>
        </w:rPr>
      </w:pPr>
      <w:r w:rsidRPr="001F1D8E">
        <w:rPr>
          <w:rFonts w:ascii="Garamond" w:hAnsi="Garamond" w:cs="Times New Roman"/>
          <w:sz w:val="24"/>
          <w:szCs w:val="24"/>
        </w:rPr>
        <w:t xml:space="preserve">What competencies/skills might be added, deleted, or changed to </w:t>
      </w:r>
      <w:r w:rsidR="008D4106" w:rsidRPr="001F1D8E">
        <w:rPr>
          <w:rFonts w:ascii="Garamond" w:hAnsi="Garamond" w:cs="Times New Roman"/>
          <w:sz w:val="24"/>
          <w:szCs w:val="24"/>
        </w:rPr>
        <w:t>better align the work?</w:t>
      </w:r>
    </w:p>
    <w:p w14:paraId="31F21B6F" w14:textId="30133403" w:rsidR="008D4106" w:rsidRPr="00CD4759" w:rsidRDefault="008D4106" w:rsidP="008D4106">
      <w:pPr>
        <w:spacing w:after="0" w:line="240" w:lineRule="auto"/>
        <w:rPr>
          <w:rFonts w:ascii="Garamond" w:hAnsi="Garamond" w:cs="Times New Roman"/>
          <w:sz w:val="16"/>
          <w:szCs w:val="16"/>
        </w:rPr>
      </w:pPr>
    </w:p>
    <w:p w14:paraId="2BF32569" w14:textId="516853A2" w:rsidR="00E52141" w:rsidRDefault="00E52141" w:rsidP="00484FC1">
      <w:pPr>
        <w:spacing w:after="0" w:line="240" w:lineRule="auto"/>
        <w:rPr>
          <w:rFonts w:ascii="Garamond" w:hAnsi="Garamond" w:cs="Times New Roman"/>
          <w:sz w:val="24"/>
          <w:szCs w:val="24"/>
        </w:rPr>
      </w:pPr>
      <w:r>
        <w:rPr>
          <w:rFonts w:ascii="Garamond" w:hAnsi="Garamond" w:cs="Times New Roman"/>
          <w:sz w:val="24"/>
          <w:szCs w:val="24"/>
        </w:rPr>
        <w:t xml:space="preserve">AIR </w:t>
      </w:r>
      <w:r>
        <w:rPr>
          <w:rFonts w:ascii="Garamond" w:hAnsi="Garamond" w:cs="Times New Roman"/>
          <w:sz w:val="24"/>
          <w:szCs w:val="24"/>
        </w:rPr>
        <w:t xml:space="preserve">also </w:t>
      </w:r>
      <w:r w:rsidRPr="001F1D8E">
        <w:rPr>
          <w:rFonts w:ascii="Garamond" w:hAnsi="Garamond" w:cs="Times New Roman"/>
          <w:sz w:val="24"/>
          <w:szCs w:val="24"/>
        </w:rPr>
        <w:t>conduct</w:t>
      </w:r>
      <w:r>
        <w:rPr>
          <w:rFonts w:ascii="Garamond" w:hAnsi="Garamond" w:cs="Times New Roman"/>
          <w:sz w:val="24"/>
          <w:szCs w:val="24"/>
        </w:rPr>
        <w:t>ed</w:t>
      </w:r>
      <w:r w:rsidRPr="001F1D8E">
        <w:rPr>
          <w:rFonts w:ascii="Garamond" w:hAnsi="Garamond" w:cs="Times New Roman"/>
          <w:sz w:val="24"/>
          <w:szCs w:val="24"/>
        </w:rPr>
        <w:t xml:space="preserve"> </w:t>
      </w:r>
      <w:r w:rsidRPr="001F1D8E">
        <w:rPr>
          <w:rFonts w:ascii="Garamond" w:hAnsi="Garamond" w:cs="Times New Roman"/>
          <w:bCs/>
          <w:sz w:val="24"/>
          <w:szCs w:val="24"/>
        </w:rPr>
        <w:t>usability testing</w:t>
      </w:r>
      <w:r w:rsidRPr="001F1D8E">
        <w:rPr>
          <w:rFonts w:ascii="Garamond" w:hAnsi="Garamond" w:cs="Times New Roman"/>
          <w:b/>
          <w:bCs/>
          <w:sz w:val="24"/>
          <w:szCs w:val="24"/>
        </w:rPr>
        <w:t xml:space="preserve"> </w:t>
      </w:r>
      <w:r w:rsidRPr="001F1D8E">
        <w:rPr>
          <w:rFonts w:ascii="Garamond" w:hAnsi="Garamond" w:cs="Times New Roman"/>
          <w:sz w:val="24"/>
          <w:szCs w:val="24"/>
        </w:rPr>
        <w:t xml:space="preserve">to examine how well the micro-credential </w:t>
      </w:r>
      <w:r w:rsidR="00484FC1">
        <w:rPr>
          <w:rFonts w:ascii="Garamond" w:hAnsi="Garamond" w:cs="Times New Roman"/>
          <w:sz w:val="24"/>
          <w:szCs w:val="24"/>
        </w:rPr>
        <w:t>content</w:t>
      </w:r>
      <w:r w:rsidRPr="001F1D8E">
        <w:rPr>
          <w:rFonts w:ascii="Garamond" w:hAnsi="Garamond" w:cs="Times New Roman"/>
          <w:sz w:val="24"/>
          <w:szCs w:val="24"/>
        </w:rPr>
        <w:t xml:space="preserve"> me</w:t>
      </w:r>
      <w:r>
        <w:rPr>
          <w:rFonts w:ascii="Garamond" w:hAnsi="Garamond" w:cs="Times New Roman"/>
          <w:sz w:val="24"/>
          <w:szCs w:val="24"/>
        </w:rPr>
        <w:t>t</w:t>
      </w:r>
      <w:r w:rsidRPr="001F1D8E">
        <w:rPr>
          <w:rFonts w:ascii="Garamond" w:hAnsi="Garamond" w:cs="Times New Roman"/>
          <w:sz w:val="24"/>
          <w:szCs w:val="24"/>
        </w:rPr>
        <w:t xml:space="preserve"> school leader learning interests/needs. </w:t>
      </w:r>
      <w:r>
        <w:rPr>
          <w:rFonts w:ascii="Garamond" w:hAnsi="Garamond" w:cs="Times New Roman"/>
          <w:sz w:val="24"/>
          <w:szCs w:val="24"/>
        </w:rPr>
        <w:t xml:space="preserve">The LFE MC cluster was piloted with </w:t>
      </w:r>
      <w:r w:rsidR="00484FC1">
        <w:rPr>
          <w:rFonts w:ascii="Garamond" w:hAnsi="Garamond" w:cs="Times New Roman"/>
          <w:sz w:val="24"/>
          <w:szCs w:val="24"/>
        </w:rPr>
        <w:t xml:space="preserve">306 </w:t>
      </w:r>
      <w:r>
        <w:rPr>
          <w:rFonts w:ascii="Garamond" w:hAnsi="Garamond" w:cs="Times New Roman"/>
          <w:sz w:val="24"/>
          <w:szCs w:val="24"/>
        </w:rPr>
        <w:t>p</w:t>
      </w:r>
      <w:r w:rsidRPr="001F1D8E">
        <w:rPr>
          <w:rFonts w:ascii="Garamond" w:hAnsi="Garamond" w:cs="Times New Roman"/>
          <w:sz w:val="24"/>
          <w:szCs w:val="24"/>
        </w:rPr>
        <w:t>rincipals and assistant principals represent</w:t>
      </w:r>
      <w:r>
        <w:rPr>
          <w:rFonts w:ascii="Garamond" w:hAnsi="Garamond" w:cs="Times New Roman"/>
          <w:sz w:val="24"/>
          <w:szCs w:val="24"/>
        </w:rPr>
        <w:t>ing</w:t>
      </w:r>
      <w:r w:rsidRPr="001F1D8E">
        <w:rPr>
          <w:rFonts w:ascii="Garamond" w:hAnsi="Garamond" w:cs="Times New Roman"/>
          <w:sz w:val="24"/>
          <w:szCs w:val="24"/>
        </w:rPr>
        <w:t xml:space="preserve"> over 10 different states and a variety of rural, suburban, urban, private, and charter school principals and assistant principals. Table 1 includes the demographics for the </w:t>
      </w:r>
      <w:r w:rsidR="00484FC1">
        <w:rPr>
          <w:rFonts w:ascii="Garamond" w:hAnsi="Garamond" w:cs="Times New Roman"/>
          <w:sz w:val="24"/>
          <w:szCs w:val="24"/>
        </w:rPr>
        <w:t xml:space="preserve">building leader </w:t>
      </w:r>
      <w:r w:rsidRPr="001F1D8E">
        <w:rPr>
          <w:rFonts w:ascii="Garamond" w:hAnsi="Garamond" w:cs="Times New Roman"/>
          <w:sz w:val="24"/>
          <w:szCs w:val="24"/>
        </w:rPr>
        <w:t>pilot.</w:t>
      </w:r>
    </w:p>
    <w:p w14:paraId="16C20A3E" w14:textId="77777777" w:rsidR="00484FC1" w:rsidRPr="00CD4759" w:rsidRDefault="00484FC1" w:rsidP="00484FC1">
      <w:pPr>
        <w:spacing w:after="0" w:line="240" w:lineRule="auto"/>
        <w:rPr>
          <w:rFonts w:ascii="Garamond" w:hAnsi="Garamond" w:cs="Times New Roman"/>
          <w:sz w:val="16"/>
          <w:szCs w:val="16"/>
        </w:rPr>
      </w:pPr>
    </w:p>
    <w:tbl>
      <w:tblPr>
        <w:tblStyle w:val="GridTable5Dark-Accent3"/>
        <w:tblpPr w:leftFromText="180" w:rightFromText="180" w:vertAnchor="text" w:horzAnchor="margin" w:tblpX="175" w:tblpY="51"/>
        <w:tblW w:w="0" w:type="auto"/>
        <w:tblLook w:val="04A0" w:firstRow="1" w:lastRow="0" w:firstColumn="1" w:lastColumn="0" w:noHBand="0" w:noVBand="1"/>
        <w:tblCaption w:val="Table 1"/>
        <w:tblDescription w:val="Enrollments for LFE Principal Pilot by State"/>
      </w:tblPr>
      <w:tblGrid>
        <w:gridCol w:w="1255"/>
        <w:gridCol w:w="1355"/>
      </w:tblGrid>
      <w:tr w:rsidR="00E52141" w:rsidRPr="00654062" w14:paraId="73F04B38" w14:textId="77777777" w:rsidTr="00484FC1">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610" w:type="dxa"/>
            <w:gridSpan w:val="2"/>
          </w:tcPr>
          <w:p w14:paraId="5276695E" w14:textId="77777777" w:rsidR="00E52141" w:rsidRPr="00E52141" w:rsidRDefault="00E52141" w:rsidP="00484FC1">
            <w:pPr>
              <w:jc w:val="center"/>
              <w:rPr>
                <w:rFonts w:ascii="Garamond" w:hAnsi="Garamond" w:cs="Times New Roman"/>
                <w:b w:val="0"/>
                <w:bCs w:val="0"/>
                <w:sz w:val="24"/>
                <w:szCs w:val="24"/>
              </w:rPr>
            </w:pPr>
            <w:r w:rsidRPr="00E52141">
              <w:rPr>
                <w:rFonts w:ascii="Garamond" w:hAnsi="Garamond" w:cs="Times New Roman"/>
                <w:b w:val="0"/>
                <w:sz w:val="24"/>
                <w:szCs w:val="24"/>
              </w:rPr>
              <w:t>Table 1</w:t>
            </w:r>
          </w:p>
          <w:p w14:paraId="23B50E3F"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Enrollments for LFE Principal Pilot by State</w:t>
            </w:r>
          </w:p>
        </w:tc>
      </w:tr>
      <w:tr w:rsidR="00E52141" w:rsidRPr="00654062" w14:paraId="243364E9" w14:textId="77777777" w:rsidTr="00484FC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5" w:type="dxa"/>
          </w:tcPr>
          <w:p w14:paraId="6482965B"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States</w:t>
            </w:r>
          </w:p>
        </w:tc>
        <w:tc>
          <w:tcPr>
            <w:tcW w:w="1355" w:type="dxa"/>
          </w:tcPr>
          <w:p w14:paraId="00CF1A5F"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color w:val="FFFFFF" w:themeColor="background1"/>
                <w:sz w:val="24"/>
                <w:szCs w:val="24"/>
              </w:rPr>
            </w:pPr>
            <w:r w:rsidRPr="00E52141">
              <w:rPr>
                <w:rFonts w:ascii="Garamond" w:hAnsi="Garamond" w:cs="Times New Roman"/>
                <w:b/>
                <w:color w:val="FFFFFF" w:themeColor="background1"/>
                <w:sz w:val="24"/>
                <w:szCs w:val="24"/>
              </w:rPr>
              <w:t># Enrolled</w:t>
            </w:r>
          </w:p>
        </w:tc>
      </w:tr>
      <w:tr w:rsidR="00E52141" w:rsidRPr="00654062" w14:paraId="519C418F"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62B3138A"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CA</w:t>
            </w:r>
          </w:p>
        </w:tc>
        <w:tc>
          <w:tcPr>
            <w:tcW w:w="1355" w:type="dxa"/>
          </w:tcPr>
          <w:p w14:paraId="0B0172C2"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6</w:t>
            </w:r>
          </w:p>
        </w:tc>
      </w:tr>
      <w:tr w:rsidR="00E52141" w:rsidRPr="00654062" w14:paraId="70DA6B03" w14:textId="77777777" w:rsidTr="00484FC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55" w:type="dxa"/>
          </w:tcPr>
          <w:p w14:paraId="728BF6EB"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CT</w:t>
            </w:r>
          </w:p>
        </w:tc>
        <w:tc>
          <w:tcPr>
            <w:tcW w:w="1355" w:type="dxa"/>
          </w:tcPr>
          <w:p w14:paraId="7E8C8BC1"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3</w:t>
            </w:r>
          </w:p>
        </w:tc>
      </w:tr>
      <w:tr w:rsidR="00E52141" w:rsidRPr="00654062" w14:paraId="4F23A522"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064854B2"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DC</w:t>
            </w:r>
          </w:p>
        </w:tc>
        <w:tc>
          <w:tcPr>
            <w:tcW w:w="1355" w:type="dxa"/>
          </w:tcPr>
          <w:p w14:paraId="1FE5D4DB"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8</w:t>
            </w:r>
          </w:p>
        </w:tc>
      </w:tr>
      <w:tr w:rsidR="00484FC1" w:rsidRPr="00654062" w14:paraId="58226CD0" w14:textId="77777777" w:rsidTr="00484FC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5" w:type="dxa"/>
          </w:tcPr>
          <w:p w14:paraId="2582DF72"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DE</w:t>
            </w:r>
          </w:p>
        </w:tc>
        <w:tc>
          <w:tcPr>
            <w:tcW w:w="1355" w:type="dxa"/>
          </w:tcPr>
          <w:p w14:paraId="28C2E6F1"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3</w:t>
            </w:r>
          </w:p>
        </w:tc>
      </w:tr>
      <w:tr w:rsidR="00E52141" w:rsidRPr="00654062" w14:paraId="6EB5340B"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3BB5496B"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GA</w:t>
            </w:r>
          </w:p>
        </w:tc>
        <w:tc>
          <w:tcPr>
            <w:tcW w:w="1355" w:type="dxa"/>
          </w:tcPr>
          <w:p w14:paraId="34CE7041"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2</w:t>
            </w:r>
          </w:p>
        </w:tc>
      </w:tr>
      <w:tr w:rsidR="00484FC1" w:rsidRPr="00654062" w14:paraId="1DF3FC39" w14:textId="77777777" w:rsidTr="00484FC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55" w:type="dxa"/>
          </w:tcPr>
          <w:p w14:paraId="389A804F"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IL</w:t>
            </w:r>
          </w:p>
        </w:tc>
        <w:tc>
          <w:tcPr>
            <w:tcW w:w="1355" w:type="dxa"/>
          </w:tcPr>
          <w:p w14:paraId="1A392959"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181</w:t>
            </w:r>
          </w:p>
        </w:tc>
      </w:tr>
      <w:tr w:rsidR="00E52141" w:rsidRPr="00654062" w14:paraId="557BB1F0"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341FD5B9"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MD</w:t>
            </w:r>
          </w:p>
        </w:tc>
        <w:tc>
          <w:tcPr>
            <w:tcW w:w="1355" w:type="dxa"/>
          </w:tcPr>
          <w:p w14:paraId="4456EAD4"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11</w:t>
            </w:r>
          </w:p>
        </w:tc>
      </w:tr>
      <w:tr w:rsidR="00484FC1" w:rsidRPr="00654062" w14:paraId="5FBAE61B" w14:textId="77777777" w:rsidTr="00484FC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5" w:type="dxa"/>
          </w:tcPr>
          <w:p w14:paraId="056625BF"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MO</w:t>
            </w:r>
          </w:p>
        </w:tc>
        <w:tc>
          <w:tcPr>
            <w:tcW w:w="1355" w:type="dxa"/>
          </w:tcPr>
          <w:p w14:paraId="3AC2D6E5"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1</w:t>
            </w:r>
          </w:p>
        </w:tc>
      </w:tr>
      <w:tr w:rsidR="00E52141" w:rsidRPr="00654062" w14:paraId="2BD9D0DA"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201A8EA0"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TN</w:t>
            </w:r>
          </w:p>
        </w:tc>
        <w:tc>
          <w:tcPr>
            <w:tcW w:w="1355" w:type="dxa"/>
          </w:tcPr>
          <w:p w14:paraId="35DE4A6C"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5</w:t>
            </w:r>
          </w:p>
        </w:tc>
      </w:tr>
      <w:tr w:rsidR="00484FC1" w:rsidRPr="00654062" w14:paraId="13690402" w14:textId="77777777" w:rsidTr="00484FC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55" w:type="dxa"/>
          </w:tcPr>
          <w:p w14:paraId="5E2DF6D6"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WA</w:t>
            </w:r>
          </w:p>
        </w:tc>
        <w:tc>
          <w:tcPr>
            <w:tcW w:w="1355" w:type="dxa"/>
          </w:tcPr>
          <w:p w14:paraId="24636010" w14:textId="77777777" w:rsidR="00E52141" w:rsidRPr="00E52141" w:rsidRDefault="00E5214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7</w:t>
            </w:r>
          </w:p>
        </w:tc>
      </w:tr>
      <w:tr w:rsidR="00E52141" w:rsidRPr="00654062" w14:paraId="019AB70C" w14:textId="77777777" w:rsidTr="00484FC1">
        <w:trPr>
          <w:trHeight w:val="236"/>
        </w:trPr>
        <w:tc>
          <w:tcPr>
            <w:cnfStyle w:val="001000000000" w:firstRow="0" w:lastRow="0" w:firstColumn="1" w:lastColumn="0" w:oddVBand="0" w:evenVBand="0" w:oddHBand="0" w:evenHBand="0" w:firstRowFirstColumn="0" w:firstRowLastColumn="0" w:lastRowFirstColumn="0" w:lastRowLastColumn="0"/>
            <w:tcW w:w="1255" w:type="dxa"/>
          </w:tcPr>
          <w:p w14:paraId="3ECB6B10" w14:textId="77777777" w:rsidR="00E52141" w:rsidRPr="00E52141" w:rsidRDefault="00E52141" w:rsidP="00484FC1">
            <w:pPr>
              <w:jc w:val="center"/>
              <w:rPr>
                <w:rFonts w:ascii="Garamond" w:hAnsi="Garamond" w:cs="Times New Roman"/>
                <w:sz w:val="24"/>
                <w:szCs w:val="24"/>
              </w:rPr>
            </w:pPr>
            <w:r w:rsidRPr="00E52141">
              <w:rPr>
                <w:rFonts w:ascii="Garamond" w:hAnsi="Garamond" w:cs="Times New Roman"/>
                <w:sz w:val="24"/>
                <w:szCs w:val="24"/>
              </w:rPr>
              <w:t>NY</w:t>
            </w:r>
          </w:p>
        </w:tc>
        <w:tc>
          <w:tcPr>
            <w:tcW w:w="1355" w:type="dxa"/>
          </w:tcPr>
          <w:p w14:paraId="1CD71058" w14:textId="77777777" w:rsidR="00E52141" w:rsidRPr="00E52141" w:rsidRDefault="00E5214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E52141">
              <w:rPr>
                <w:rFonts w:ascii="Garamond" w:hAnsi="Garamond" w:cs="Times New Roman"/>
                <w:sz w:val="24"/>
                <w:szCs w:val="24"/>
              </w:rPr>
              <w:t>50</w:t>
            </w:r>
          </w:p>
        </w:tc>
      </w:tr>
      <w:tr w:rsidR="00484FC1" w:rsidRPr="00654062" w14:paraId="17A8E210" w14:textId="77777777" w:rsidTr="00484FC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255" w:type="dxa"/>
          </w:tcPr>
          <w:p w14:paraId="276CE7E1" w14:textId="77777777" w:rsidR="00E52141" w:rsidRPr="00E52141" w:rsidRDefault="00E52141" w:rsidP="00484FC1">
            <w:pPr>
              <w:jc w:val="center"/>
              <w:rPr>
                <w:rFonts w:ascii="Garamond" w:hAnsi="Garamond" w:cs="Times New Roman"/>
                <w:b w:val="0"/>
                <w:sz w:val="24"/>
                <w:szCs w:val="24"/>
              </w:rPr>
            </w:pPr>
            <w:r w:rsidRPr="00E52141">
              <w:rPr>
                <w:rFonts w:ascii="Garamond" w:hAnsi="Garamond" w:cs="Times New Roman"/>
                <w:sz w:val="24"/>
                <w:szCs w:val="24"/>
              </w:rPr>
              <w:t>Total</w:t>
            </w:r>
          </w:p>
        </w:tc>
        <w:tc>
          <w:tcPr>
            <w:tcW w:w="1355" w:type="dxa"/>
          </w:tcPr>
          <w:p w14:paraId="18087623" w14:textId="77777777" w:rsidR="00E52141" w:rsidRPr="00E52141" w:rsidRDefault="00E52141" w:rsidP="00484FC1">
            <w:pPr>
              <w:keepNext/>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sz w:val="24"/>
                <w:szCs w:val="24"/>
              </w:rPr>
            </w:pPr>
            <w:r w:rsidRPr="00E52141">
              <w:rPr>
                <w:rFonts w:ascii="Garamond" w:hAnsi="Garamond" w:cs="Times New Roman"/>
                <w:b/>
                <w:sz w:val="24"/>
                <w:szCs w:val="24"/>
              </w:rPr>
              <w:t>306</w:t>
            </w:r>
          </w:p>
        </w:tc>
      </w:tr>
    </w:tbl>
    <w:tbl>
      <w:tblPr>
        <w:tblStyle w:val="GridTable5Dark-Accent3"/>
        <w:tblpPr w:leftFromText="180" w:rightFromText="180" w:vertAnchor="text" w:horzAnchor="margin" w:tblpXSpec="right" w:tblpY="927"/>
        <w:tblW w:w="0" w:type="auto"/>
        <w:tblLook w:val="04A0" w:firstRow="1" w:lastRow="0" w:firstColumn="1" w:lastColumn="0" w:noHBand="0" w:noVBand="1"/>
        <w:tblCaption w:val="Table 1"/>
        <w:tblDescription w:val="Enrollments for LFE Principal Pilot by State"/>
      </w:tblPr>
      <w:tblGrid>
        <w:gridCol w:w="1345"/>
        <w:gridCol w:w="1327"/>
      </w:tblGrid>
      <w:tr w:rsidR="00484FC1" w:rsidRPr="00654062" w14:paraId="1C7F3C27" w14:textId="77777777" w:rsidTr="00484FC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72" w:type="dxa"/>
            <w:gridSpan w:val="2"/>
          </w:tcPr>
          <w:p w14:paraId="3CCE4191" w14:textId="77777777" w:rsidR="00484FC1" w:rsidRPr="00484FC1" w:rsidRDefault="00484FC1" w:rsidP="00484FC1">
            <w:pPr>
              <w:jc w:val="center"/>
              <w:rPr>
                <w:rFonts w:ascii="Garamond" w:hAnsi="Garamond" w:cs="Times New Roman"/>
                <w:b w:val="0"/>
                <w:bCs w:val="0"/>
                <w:sz w:val="24"/>
                <w:szCs w:val="24"/>
              </w:rPr>
            </w:pPr>
            <w:r w:rsidRPr="00484FC1">
              <w:rPr>
                <w:rFonts w:ascii="Garamond" w:hAnsi="Garamond" w:cs="Times New Roman"/>
                <w:b w:val="0"/>
                <w:sz w:val="24"/>
                <w:szCs w:val="24"/>
              </w:rPr>
              <w:t>Table 2</w:t>
            </w:r>
          </w:p>
          <w:p w14:paraId="4FB63795" w14:textId="77777777" w:rsidR="00484FC1" w:rsidRPr="00484FC1" w:rsidRDefault="00484FC1" w:rsidP="00484FC1">
            <w:pPr>
              <w:jc w:val="center"/>
              <w:rPr>
                <w:rFonts w:ascii="Garamond" w:hAnsi="Garamond" w:cs="Times New Roman"/>
                <w:sz w:val="24"/>
                <w:szCs w:val="24"/>
              </w:rPr>
            </w:pPr>
            <w:r w:rsidRPr="00484FC1">
              <w:rPr>
                <w:rFonts w:ascii="Garamond" w:hAnsi="Garamond" w:cs="Times New Roman"/>
                <w:sz w:val="24"/>
                <w:szCs w:val="24"/>
              </w:rPr>
              <w:t>Enrollments for LFE MC #1 for District-Level Pilot by State</w:t>
            </w:r>
          </w:p>
        </w:tc>
      </w:tr>
      <w:tr w:rsidR="00484FC1" w:rsidRPr="00654062" w14:paraId="6D62FC5A" w14:textId="77777777" w:rsidTr="00484FC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345" w:type="dxa"/>
          </w:tcPr>
          <w:p w14:paraId="583362A8" w14:textId="77777777" w:rsidR="00484FC1" w:rsidRPr="003A30B6" w:rsidRDefault="00484FC1" w:rsidP="00484FC1">
            <w:pPr>
              <w:jc w:val="center"/>
              <w:rPr>
                <w:rFonts w:ascii="Garamond" w:hAnsi="Garamond" w:cs="Times New Roman"/>
                <w:szCs w:val="24"/>
              </w:rPr>
            </w:pPr>
            <w:r w:rsidRPr="003A30B6">
              <w:rPr>
                <w:rFonts w:ascii="Garamond" w:hAnsi="Garamond" w:cs="Times New Roman"/>
                <w:szCs w:val="24"/>
              </w:rPr>
              <w:t>States</w:t>
            </w:r>
          </w:p>
        </w:tc>
        <w:tc>
          <w:tcPr>
            <w:tcW w:w="1327" w:type="dxa"/>
          </w:tcPr>
          <w:p w14:paraId="465CB39A" w14:textId="77777777" w:rsidR="00484FC1" w:rsidRPr="00484FC1" w:rsidRDefault="00484FC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color w:val="FFFFFF" w:themeColor="background1"/>
                <w:sz w:val="24"/>
                <w:szCs w:val="24"/>
              </w:rPr>
            </w:pPr>
            <w:r w:rsidRPr="00484FC1">
              <w:rPr>
                <w:rFonts w:ascii="Garamond" w:hAnsi="Garamond" w:cs="Times New Roman"/>
                <w:b/>
                <w:color w:val="FFFFFF" w:themeColor="background1"/>
                <w:sz w:val="24"/>
                <w:szCs w:val="24"/>
              </w:rPr>
              <w:t># Enrolled</w:t>
            </w:r>
          </w:p>
        </w:tc>
      </w:tr>
      <w:tr w:rsidR="00484FC1" w:rsidRPr="00654062" w14:paraId="43228FE0" w14:textId="77777777" w:rsidTr="00484FC1">
        <w:trPr>
          <w:trHeight w:val="264"/>
        </w:trPr>
        <w:tc>
          <w:tcPr>
            <w:cnfStyle w:val="001000000000" w:firstRow="0" w:lastRow="0" w:firstColumn="1" w:lastColumn="0" w:oddVBand="0" w:evenVBand="0" w:oddHBand="0" w:evenHBand="0" w:firstRowFirstColumn="0" w:firstRowLastColumn="0" w:lastRowFirstColumn="0" w:lastRowLastColumn="0"/>
            <w:tcW w:w="1345" w:type="dxa"/>
          </w:tcPr>
          <w:p w14:paraId="0977E7A2"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CA</w:t>
            </w:r>
          </w:p>
        </w:tc>
        <w:tc>
          <w:tcPr>
            <w:tcW w:w="1327" w:type="dxa"/>
          </w:tcPr>
          <w:p w14:paraId="57FDEAB9" w14:textId="77777777" w:rsidR="00484FC1" w:rsidRPr="00484FC1" w:rsidRDefault="00484FC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2</w:t>
            </w:r>
          </w:p>
        </w:tc>
      </w:tr>
      <w:tr w:rsidR="00484FC1" w:rsidRPr="00654062" w14:paraId="2F9DE6D8" w14:textId="77777777" w:rsidTr="00484F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45" w:type="dxa"/>
          </w:tcPr>
          <w:p w14:paraId="1FF667F5"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IL</w:t>
            </w:r>
          </w:p>
        </w:tc>
        <w:tc>
          <w:tcPr>
            <w:tcW w:w="1327" w:type="dxa"/>
          </w:tcPr>
          <w:p w14:paraId="4AFEE4D7" w14:textId="77777777" w:rsidR="00484FC1" w:rsidRPr="00484FC1" w:rsidRDefault="00484FC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43</w:t>
            </w:r>
          </w:p>
        </w:tc>
      </w:tr>
      <w:tr w:rsidR="00484FC1" w:rsidRPr="00654062" w14:paraId="25F18BC3" w14:textId="77777777" w:rsidTr="00484FC1">
        <w:trPr>
          <w:trHeight w:val="264"/>
        </w:trPr>
        <w:tc>
          <w:tcPr>
            <w:cnfStyle w:val="001000000000" w:firstRow="0" w:lastRow="0" w:firstColumn="1" w:lastColumn="0" w:oddVBand="0" w:evenVBand="0" w:oddHBand="0" w:evenHBand="0" w:firstRowFirstColumn="0" w:firstRowLastColumn="0" w:lastRowFirstColumn="0" w:lastRowLastColumn="0"/>
            <w:tcW w:w="1345" w:type="dxa"/>
          </w:tcPr>
          <w:p w14:paraId="57ADC508"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TN</w:t>
            </w:r>
          </w:p>
        </w:tc>
        <w:tc>
          <w:tcPr>
            <w:tcW w:w="1327" w:type="dxa"/>
          </w:tcPr>
          <w:p w14:paraId="406CB892" w14:textId="77777777" w:rsidR="00484FC1" w:rsidRPr="00484FC1" w:rsidRDefault="00484FC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35</w:t>
            </w:r>
          </w:p>
        </w:tc>
      </w:tr>
      <w:tr w:rsidR="00484FC1" w:rsidRPr="00654062" w14:paraId="30C61EBC" w14:textId="77777777" w:rsidTr="00484FC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345" w:type="dxa"/>
          </w:tcPr>
          <w:p w14:paraId="3E8B7FB2"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GA</w:t>
            </w:r>
          </w:p>
        </w:tc>
        <w:tc>
          <w:tcPr>
            <w:tcW w:w="1327" w:type="dxa"/>
          </w:tcPr>
          <w:p w14:paraId="08AEB0ED" w14:textId="77777777" w:rsidR="00484FC1" w:rsidRPr="00484FC1" w:rsidRDefault="00484FC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3</w:t>
            </w:r>
          </w:p>
        </w:tc>
      </w:tr>
      <w:tr w:rsidR="00484FC1" w:rsidRPr="00654062" w14:paraId="15F2E18C" w14:textId="77777777" w:rsidTr="00484FC1">
        <w:trPr>
          <w:trHeight w:val="264"/>
        </w:trPr>
        <w:tc>
          <w:tcPr>
            <w:cnfStyle w:val="001000000000" w:firstRow="0" w:lastRow="0" w:firstColumn="1" w:lastColumn="0" w:oddVBand="0" w:evenVBand="0" w:oddHBand="0" w:evenHBand="0" w:firstRowFirstColumn="0" w:firstRowLastColumn="0" w:lastRowFirstColumn="0" w:lastRowLastColumn="0"/>
            <w:tcW w:w="1345" w:type="dxa"/>
          </w:tcPr>
          <w:p w14:paraId="3B95D356"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PA</w:t>
            </w:r>
          </w:p>
        </w:tc>
        <w:tc>
          <w:tcPr>
            <w:tcW w:w="1327" w:type="dxa"/>
          </w:tcPr>
          <w:p w14:paraId="7DD95731" w14:textId="77777777" w:rsidR="00484FC1" w:rsidRPr="00484FC1" w:rsidRDefault="00484FC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1</w:t>
            </w:r>
          </w:p>
        </w:tc>
      </w:tr>
      <w:tr w:rsidR="00484FC1" w:rsidRPr="00654062" w14:paraId="43AF9728" w14:textId="77777777" w:rsidTr="00484F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45" w:type="dxa"/>
          </w:tcPr>
          <w:p w14:paraId="21C37D52" w14:textId="77777777" w:rsidR="00484FC1" w:rsidRPr="00654062" w:rsidRDefault="00484FC1" w:rsidP="00484FC1">
            <w:pPr>
              <w:jc w:val="center"/>
              <w:rPr>
                <w:rFonts w:ascii="Garamond" w:hAnsi="Garamond" w:cs="Times New Roman"/>
                <w:szCs w:val="24"/>
              </w:rPr>
            </w:pPr>
            <w:r w:rsidRPr="00654062">
              <w:rPr>
                <w:rFonts w:ascii="Garamond" w:hAnsi="Garamond" w:cs="Times New Roman"/>
                <w:szCs w:val="24"/>
              </w:rPr>
              <w:t>NY</w:t>
            </w:r>
          </w:p>
        </w:tc>
        <w:tc>
          <w:tcPr>
            <w:tcW w:w="1327" w:type="dxa"/>
          </w:tcPr>
          <w:p w14:paraId="63AB74E0" w14:textId="77777777" w:rsidR="00484FC1" w:rsidRPr="00484FC1" w:rsidRDefault="00484FC1" w:rsidP="00484FC1">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sz w:val="24"/>
                <w:szCs w:val="24"/>
              </w:rPr>
            </w:pPr>
            <w:r w:rsidRPr="00484FC1">
              <w:rPr>
                <w:rFonts w:ascii="Garamond" w:hAnsi="Garamond" w:cs="Times New Roman"/>
                <w:sz w:val="24"/>
                <w:szCs w:val="24"/>
              </w:rPr>
              <w:t>21</w:t>
            </w:r>
          </w:p>
        </w:tc>
      </w:tr>
      <w:tr w:rsidR="00484FC1" w:rsidRPr="00654062" w14:paraId="4C6C352B" w14:textId="77777777" w:rsidTr="00CD4759">
        <w:trPr>
          <w:trHeight w:val="272"/>
        </w:trPr>
        <w:tc>
          <w:tcPr>
            <w:cnfStyle w:val="001000000000" w:firstRow="0" w:lastRow="0" w:firstColumn="1" w:lastColumn="0" w:oddVBand="0" w:evenVBand="0" w:oddHBand="0" w:evenHBand="0" w:firstRowFirstColumn="0" w:firstRowLastColumn="0" w:lastRowFirstColumn="0" w:lastRowLastColumn="0"/>
            <w:tcW w:w="1345" w:type="dxa"/>
          </w:tcPr>
          <w:p w14:paraId="4246B4F2" w14:textId="77777777" w:rsidR="00484FC1" w:rsidRPr="00654062" w:rsidRDefault="00484FC1" w:rsidP="00484FC1">
            <w:pPr>
              <w:jc w:val="center"/>
              <w:rPr>
                <w:rFonts w:ascii="Garamond" w:hAnsi="Garamond" w:cs="Times New Roman"/>
                <w:b w:val="0"/>
                <w:szCs w:val="24"/>
              </w:rPr>
            </w:pPr>
            <w:r w:rsidRPr="00654062">
              <w:rPr>
                <w:rFonts w:ascii="Garamond" w:hAnsi="Garamond" w:cs="Times New Roman"/>
                <w:szCs w:val="24"/>
              </w:rPr>
              <w:t>Total</w:t>
            </w:r>
          </w:p>
        </w:tc>
        <w:tc>
          <w:tcPr>
            <w:tcW w:w="1327" w:type="dxa"/>
          </w:tcPr>
          <w:p w14:paraId="2D987278" w14:textId="77777777" w:rsidR="00484FC1" w:rsidRPr="00484FC1" w:rsidRDefault="00484FC1" w:rsidP="00484FC1">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4"/>
                <w:szCs w:val="24"/>
              </w:rPr>
            </w:pPr>
            <w:r w:rsidRPr="00484FC1">
              <w:rPr>
                <w:rFonts w:ascii="Garamond" w:hAnsi="Garamond" w:cs="Times New Roman"/>
                <w:b/>
                <w:sz w:val="24"/>
                <w:szCs w:val="24"/>
              </w:rPr>
              <w:t>105</w:t>
            </w:r>
          </w:p>
        </w:tc>
      </w:tr>
    </w:tbl>
    <w:p w14:paraId="08FB4E2F" w14:textId="4CCBF616" w:rsidR="00E52141" w:rsidRDefault="00E52141" w:rsidP="00484FC1">
      <w:pPr>
        <w:spacing w:after="0" w:line="240" w:lineRule="auto"/>
        <w:rPr>
          <w:rFonts w:ascii="Garamond" w:hAnsi="Garamond" w:cs="Times New Roman"/>
          <w:sz w:val="24"/>
          <w:szCs w:val="24"/>
        </w:rPr>
      </w:pPr>
      <w:r w:rsidRPr="001F1D8E">
        <w:rPr>
          <w:rFonts w:ascii="Garamond" w:hAnsi="Garamond" w:cs="Times New Roman"/>
          <w:sz w:val="24"/>
          <w:szCs w:val="24"/>
        </w:rPr>
        <w:t xml:space="preserve">The LFE MCs were designed for building level leaders but based on such a positive response from district leaders, the pilot was </w:t>
      </w:r>
      <w:proofErr w:type="gramStart"/>
      <w:r w:rsidRPr="001F1D8E">
        <w:rPr>
          <w:rFonts w:ascii="Garamond" w:hAnsi="Garamond" w:cs="Times New Roman"/>
          <w:sz w:val="24"/>
          <w:szCs w:val="24"/>
        </w:rPr>
        <w:t>opened up</w:t>
      </w:r>
      <w:proofErr w:type="gramEnd"/>
      <w:r w:rsidRPr="001F1D8E">
        <w:rPr>
          <w:rFonts w:ascii="Garamond" w:hAnsi="Garamond" w:cs="Times New Roman"/>
          <w:sz w:val="24"/>
          <w:szCs w:val="24"/>
        </w:rPr>
        <w:t xml:space="preserve"> to 105 district and organization leaders to</w:t>
      </w:r>
      <w:r w:rsidR="00484FC1">
        <w:rPr>
          <w:rFonts w:ascii="Garamond" w:hAnsi="Garamond" w:cs="Times New Roman"/>
          <w:sz w:val="24"/>
          <w:szCs w:val="24"/>
        </w:rPr>
        <w:t xml:space="preserve"> take</w:t>
      </w:r>
      <w:r w:rsidRPr="001F1D8E">
        <w:rPr>
          <w:rFonts w:ascii="Garamond" w:hAnsi="Garamond" w:cs="Times New Roman"/>
          <w:sz w:val="24"/>
          <w:szCs w:val="24"/>
        </w:rPr>
        <w:t xml:space="preserve"> </w:t>
      </w:r>
      <w:r>
        <w:rPr>
          <w:rFonts w:ascii="Garamond" w:hAnsi="Garamond" w:cs="Times New Roman"/>
          <w:sz w:val="24"/>
          <w:szCs w:val="24"/>
        </w:rPr>
        <w:t>the</w:t>
      </w:r>
      <w:r w:rsidRPr="001F1D8E">
        <w:rPr>
          <w:rFonts w:ascii="Garamond" w:hAnsi="Garamond" w:cs="Times New Roman"/>
          <w:sz w:val="24"/>
          <w:szCs w:val="24"/>
        </w:rPr>
        <w:t xml:space="preserve"> </w:t>
      </w:r>
      <w:r w:rsidRPr="001F1D8E">
        <w:rPr>
          <w:rFonts w:ascii="Garamond" w:hAnsi="Garamond" w:cs="Times New Roman"/>
          <w:i/>
          <w:sz w:val="24"/>
          <w:szCs w:val="24"/>
        </w:rPr>
        <w:t>Exploring and Deepening an Equity Mindset</w:t>
      </w:r>
      <w:r>
        <w:rPr>
          <w:rFonts w:ascii="Garamond" w:hAnsi="Garamond" w:cs="Times New Roman"/>
          <w:i/>
          <w:sz w:val="24"/>
          <w:szCs w:val="24"/>
        </w:rPr>
        <w:t xml:space="preserve"> </w:t>
      </w:r>
      <w:r w:rsidRPr="00775AE5">
        <w:rPr>
          <w:rFonts w:ascii="Garamond" w:hAnsi="Garamond" w:cs="Times New Roman"/>
          <w:sz w:val="24"/>
          <w:szCs w:val="24"/>
        </w:rPr>
        <w:t>LFE MC</w:t>
      </w:r>
      <w:r w:rsidRPr="001F1D8E">
        <w:rPr>
          <w:rFonts w:ascii="Garamond" w:hAnsi="Garamond" w:cs="Times New Roman"/>
          <w:i/>
          <w:sz w:val="24"/>
          <w:szCs w:val="24"/>
        </w:rPr>
        <w:t>.</w:t>
      </w:r>
      <w:r w:rsidRPr="001F1D8E">
        <w:rPr>
          <w:rFonts w:ascii="Garamond" w:hAnsi="Garamond" w:cs="Times New Roman"/>
          <w:sz w:val="24"/>
          <w:szCs w:val="24"/>
        </w:rPr>
        <w:t xml:space="preserve"> </w:t>
      </w:r>
      <w:r w:rsidR="00484FC1">
        <w:rPr>
          <w:rFonts w:ascii="Garamond" w:hAnsi="Garamond" w:cs="Times New Roman"/>
          <w:sz w:val="24"/>
          <w:szCs w:val="24"/>
        </w:rPr>
        <w:t>Table 2 includes the demographics for the district leader pilot.</w:t>
      </w:r>
    </w:p>
    <w:p w14:paraId="4CB90351" w14:textId="77777777" w:rsidR="00484FC1" w:rsidRPr="00CD4759" w:rsidRDefault="00484FC1" w:rsidP="00484FC1">
      <w:pPr>
        <w:spacing w:after="0" w:line="240" w:lineRule="auto"/>
        <w:rPr>
          <w:rFonts w:ascii="Garamond" w:hAnsi="Garamond" w:cs="Times New Roman"/>
          <w:sz w:val="16"/>
          <w:szCs w:val="16"/>
        </w:rPr>
      </w:pPr>
    </w:p>
    <w:p w14:paraId="7481E80F" w14:textId="2D0FA851" w:rsidR="00490461" w:rsidRPr="001F1D8E" w:rsidRDefault="00E52141" w:rsidP="00484FC1">
      <w:pPr>
        <w:spacing w:after="0" w:line="240" w:lineRule="auto"/>
        <w:rPr>
          <w:rFonts w:ascii="Garamond" w:hAnsi="Garamond" w:cs="Times New Roman"/>
          <w:sz w:val="24"/>
          <w:szCs w:val="24"/>
        </w:rPr>
      </w:pPr>
      <w:r>
        <w:rPr>
          <w:rFonts w:ascii="Garamond" w:hAnsi="Garamond" w:cs="Times New Roman"/>
          <w:sz w:val="24"/>
          <w:szCs w:val="24"/>
        </w:rPr>
        <w:t>This year, AIR</w:t>
      </w:r>
      <w:r w:rsidRPr="001F1D8E">
        <w:rPr>
          <w:rFonts w:ascii="Garamond" w:hAnsi="Garamond" w:cs="Times New Roman"/>
          <w:sz w:val="24"/>
          <w:szCs w:val="24"/>
        </w:rPr>
        <w:t xml:space="preserve"> </w:t>
      </w:r>
      <w:r>
        <w:rPr>
          <w:rFonts w:ascii="Garamond" w:hAnsi="Garamond" w:cs="Times New Roman"/>
          <w:sz w:val="24"/>
          <w:szCs w:val="24"/>
        </w:rPr>
        <w:t>will c</w:t>
      </w:r>
      <w:r w:rsidRPr="001F1D8E">
        <w:rPr>
          <w:rFonts w:ascii="Garamond" w:hAnsi="Garamond" w:cs="Times New Roman"/>
          <w:sz w:val="24"/>
          <w:szCs w:val="24"/>
        </w:rPr>
        <w:t>onduc</w:t>
      </w:r>
      <w:r>
        <w:rPr>
          <w:rFonts w:ascii="Garamond" w:hAnsi="Garamond" w:cs="Times New Roman"/>
          <w:sz w:val="24"/>
          <w:szCs w:val="24"/>
        </w:rPr>
        <w:t>t</w:t>
      </w:r>
      <w:r w:rsidRPr="001F1D8E">
        <w:rPr>
          <w:rFonts w:ascii="Garamond" w:hAnsi="Garamond" w:cs="Times New Roman"/>
          <w:sz w:val="24"/>
          <w:szCs w:val="24"/>
        </w:rPr>
        <w:t xml:space="preserve"> a c</w:t>
      </w:r>
      <w:r w:rsidRPr="001F1D8E">
        <w:rPr>
          <w:rFonts w:ascii="Garamond" w:hAnsi="Garamond" w:cs="Times New Roman"/>
          <w:bCs/>
          <w:sz w:val="24"/>
          <w:szCs w:val="24"/>
        </w:rPr>
        <w:t>ontent validity</w:t>
      </w:r>
      <w:r w:rsidRPr="001F1D8E">
        <w:rPr>
          <w:rFonts w:ascii="Garamond" w:hAnsi="Garamond" w:cs="Times New Roman"/>
          <w:sz w:val="24"/>
          <w:szCs w:val="24"/>
        </w:rPr>
        <w:t xml:space="preserve"> analys</w:t>
      </w:r>
      <w:r>
        <w:rPr>
          <w:rFonts w:ascii="Garamond" w:hAnsi="Garamond" w:cs="Times New Roman"/>
          <w:sz w:val="24"/>
          <w:szCs w:val="24"/>
        </w:rPr>
        <w:t>i</w:t>
      </w:r>
      <w:r w:rsidRPr="001F1D8E">
        <w:rPr>
          <w:rFonts w:ascii="Garamond" w:hAnsi="Garamond" w:cs="Times New Roman"/>
          <w:sz w:val="24"/>
          <w:szCs w:val="24"/>
        </w:rPr>
        <w:t>s and a c</w:t>
      </w:r>
      <w:r w:rsidRPr="001F1D8E">
        <w:rPr>
          <w:rFonts w:ascii="Garamond" w:hAnsi="Garamond" w:cs="Times New Roman"/>
          <w:bCs/>
          <w:sz w:val="24"/>
          <w:szCs w:val="24"/>
        </w:rPr>
        <w:t xml:space="preserve">onstruct validity </w:t>
      </w:r>
      <w:r w:rsidRPr="001F1D8E">
        <w:rPr>
          <w:rFonts w:ascii="Garamond" w:hAnsi="Garamond" w:cs="Times New Roman"/>
          <w:sz w:val="24"/>
          <w:szCs w:val="24"/>
        </w:rPr>
        <w:t>analys</w:t>
      </w:r>
      <w:r>
        <w:rPr>
          <w:rFonts w:ascii="Garamond" w:hAnsi="Garamond" w:cs="Times New Roman"/>
          <w:sz w:val="24"/>
          <w:szCs w:val="24"/>
        </w:rPr>
        <w:t>i</w:t>
      </w:r>
      <w:r w:rsidRPr="001F1D8E">
        <w:rPr>
          <w:rFonts w:ascii="Garamond" w:hAnsi="Garamond" w:cs="Times New Roman"/>
          <w:sz w:val="24"/>
          <w:szCs w:val="24"/>
        </w:rPr>
        <w:t xml:space="preserve">s. </w:t>
      </w:r>
    </w:p>
    <w:p w14:paraId="72160481" w14:textId="66808179" w:rsidR="00B235CD" w:rsidRPr="00411D18" w:rsidRDefault="00CD4759" w:rsidP="00484FC1">
      <w:pPr>
        <w:spacing w:after="0" w:line="240" w:lineRule="auto"/>
        <w:ind w:left="360"/>
        <w:rPr>
          <w:rFonts w:ascii="Garamond" w:hAnsi="Garamond" w:cs="Times New Roman"/>
          <w:b/>
          <w:sz w:val="24"/>
          <w:szCs w:val="24"/>
        </w:rPr>
      </w:pPr>
      <w:r w:rsidRPr="00CD4759">
        <w:rPr>
          <w:rFonts w:ascii="Garamond" w:hAnsi="Garamond" w:cs="Times New Roman"/>
          <w:b/>
          <w:sz w:val="16"/>
          <w:szCs w:val="16"/>
        </w:rPr>
        <w:br/>
      </w:r>
      <w:r w:rsidR="00302340" w:rsidRPr="00411D18">
        <w:rPr>
          <w:rFonts w:ascii="Garamond" w:hAnsi="Garamond" w:cs="Times New Roman"/>
          <w:b/>
          <w:sz w:val="24"/>
          <w:szCs w:val="24"/>
        </w:rPr>
        <w:t>Construct validity testing asks:</w:t>
      </w:r>
    </w:p>
    <w:p w14:paraId="51B7B416" w14:textId="6E4E4710" w:rsidR="00B235CD" w:rsidRPr="001F1D8E" w:rsidRDefault="00CD4759" w:rsidP="00CD4759">
      <w:pPr>
        <w:spacing w:after="0" w:line="240" w:lineRule="auto"/>
        <w:ind w:left="360"/>
        <w:rPr>
          <w:rFonts w:ascii="Garamond" w:hAnsi="Garamond" w:cs="Times New Roman"/>
          <w:sz w:val="24"/>
          <w:szCs w:val="24"/>
        </w:rPr>
      </w:pPr>
      <w:r>
        <w:rPr>
          <w:rFonts w:ascii="Garamond" w:hAnsi="Garamond" w:cs="Times New Roman"/>
          <w:sz w:val="24"/>
          <w:szCs w:val="24"/>
        </w:rPr>
        <w:t xml:space="preserve">-- </w:t>
      </w:r>
      <w:r w:rsidR="00302340" w:rsidRPr="001F1D8E">
        <w:rPr>
          <w:rFonts w:ascii="Garamond" w:hAnsi="Garamond" w:cs="Times New Roman"/>
          <w:sz w:val="24"/>
          <w:szCs w:val="24"/>
        </w:rPr>
        <w:t xml:space="preserve">Does each micro-credential differentiate performance? </w:t>
      </w:r>
    </w:p>
    <w:p w14:paraId="0F848723" w14:textId="55F15D95" w:rsidR="00B235CD" w:rsidRPr="001F1D8E" w:rsidRDefault="00CD4759" w:rsidP="00CD4759">
      <w:pPr>
        <w:spacing w:after="0" w:line="240" w:lineRule="auto"/>
        <w:ind w:left="720"/>
        <w:rPr>
          <w:rFonts w:ascii="Garamond" w:hAnsi="Garamond" w:cs="Times New Roman"/>
          <w:sz w:val="24"/>
          <w:szCs w:val="24"/>
        </w:rPr>
      </w:pPr>
      <w:r>
        <w:rPr>
          <w:rFonts w:ascii="Garamond" w:hAnsi="Garamond" w:cs="Times New Roman"/>
          <w:sz w:val="24"/>
          <w:szCs w:val="24"/>
        </w:rPr>
        <w:t xml:space="preserve">-- </w:t>
      </w:r>
      <w:r w:rsidR="00302340" w:rsidRPr="001F1D8E">
        <w:rPr>
          <w:rFonts w:ascii="Garamond" w:hAnsi="Garamond" w:cs="Times New Roman"/>
          <w:sz w:val="24"/>
          <w:szCs w:val="24"/>
        </w:rPr>
        <w:t xml:space="preserve">Do competencies co-vary? </w:t>
      </w:r>
    </w:p>
    <w:p w14:paraId="6A4106B4" w14:textId="77777777" w:rsidR="00B235CD" w:rsidRPr="00411D18" w:rsidRDefault="00302340" w:rsidP="00CD4759">
      <w:pPr>
        <w:spacing w:after="0" w:line="240" w:lineRule="auto"/>
        <w:rPr>
          <w:rFonts w:ascii="Garamond" w:hAnsi="Garamond" w:cs="Times New Roman"/>
          <w:b/>
          <w:sz w:val="24"/>
          <w:szCs w:val="24"/>
        </w:rPr>
      </w:pPr>
      <w:r w:rsidRPr="00411D18">
        <w:rPr>
          <w:rFonts w:ascii="Garamond" w:hAnsi="Garamond" w:cs="Times New Roman"/>
          <w:b/>
          <w:sz w:val="24"/>
          <w:szCs w:val="24"/>
        </w:rPr>
        <w:t xml:space="preserve">Usability analyses ask: </w:t>
      </w:r>
    </w:p>
    <w:p w14:paraId="5BAB220C" w14:textId="08CDD35B" w:rsidR="00B235CD" w:rsidRPr="001F1D8E" w:rsidRDefault="00CD4759" w:rsidP="00CD4759">
      <w:pPr>
        <w:spacing w:after="0" w:line="240" w:lineRule="auto"/>
        <w:ind w:left="720"/>
        <w:rPr>
          <w:rFonts w:ascii="Garamond" w:hAnsi="Garamond" w:cs="Times New Roman"/>
          <w:sz w:val="24"/>
          <w:szCs w:val="24"/>
        </w:rPr>
      </w:pPr>
      <w:r>
        <w:rPr>
          <w:rFonts w:ascii="Garamond" w:hAnsi="Garamond" w:cs="Times New Roman"/>
          <w:sz w:val="24"/>
          <w:szCs w:val="24"/>
        </w:rPr>
        <w:t xml:space="preserve">-- </w:t>
      </w:r>
      <w:r w:rsidR="00302340" w:rsidRPr="001F1D8E">
        <w:rPr>
          <w:rFonts w:ascii="Garamond" w:hAnsi="Garamond" w:cs="Times New Roman"/>
          <w:sz w:val="24"/>
          <w:szCs w:val="24"/>
        </w:rPr>
        <w:t xml:space="preserve">Are the micro-credential directions, documents and platform clear to principals, assistant principals or others potential users? </w:t>
      </w:r>
    </w:p>
    <w:p w14:paraId="4F460D76" w14:textId="10B2ECC6" w:rsidR="00B235CD" w:rsidRPr="001F1D8E" w:rsidRDefault="00CD4759" w:rsidP="00CD4759">
      <w:pPr>
        <w:spacing w:after="0" w:line="240" w:lineRule="auto"/>
        <w:ind w:left="720"/>
        <w:rPr>
          <w:rFonts w:ascii="Garamond" w:hAnsi="Garamond" w:cs="Times New Roman"/>
          <w:sz w:val="24"/>
          <w:szCs w:val="24"/>
        </w:rPr>
      </w:pPr>
      <w:r>
        <w:rPr>
          <w:rFonts w:ascii="Garamond" w:hAnsi="Garamond" w:cs="Times New Roman"/>
          <w:sz w:val="24"/>
          <w:szCs w:val="24"/>
        </w:rPr>
        <w:t xml:space="preserve">-- </w:t>
      </w:r>
      <w:r w:rsidR="00302340" w:rsidRPr="001F1D8E">
        <w:rPr>
          <w:rFonts w:ascii="Garamond" w:hAnsi="Garamond" w:cs="Times New Roman"/>
          <w:sz w:val="24"/>
          <w:szCs w:val="24"/>
        </w:rPr>
        <w:t>How does context support or inhibit engagement and learning?</w:t>
      </w:r>
    </w:p>
    <w:p w14:paraId="08B4FED6" w14:textId="77777777" w:rsidR="00CD4759" w:rsidRPr="00CD4759" w:rsidRDefault="00CD4759" w:rsidP="00484FC1">
      <w:pPr>
        <w:spacing w:after="0" w:line="240" w:lineRule="auto"/>
        <w:rPr>
          <w:rFonts w:ascii="Garamond" w:hAnsi="Garamond" w:cs="Times New Roman"/>
          <w:sz w:val="16"/>
          <w:szCs w:val="16"/>
        </w:rPr>
      </w:pPr>
    </w:p>
    <w:p w14:paraId="59CB43CC" w14:textId="5D6BB96A" w:rsidR="00775AE5" w:rsidRDefault="00302340" w:rsidP="00484FC1">
      <w:pPr>
        <w:spacing w:after="0" w:line="240" w:lineRule="auto"/>
        <w:rPr>
          <w:rFonts w:ascii="Garamond" w:hAnsi="Garamond" w:cs="Times New Roman"/>
          <w:sz w:val="24"/>
          <w:szCs w:val="24"/>
        </w:rPr>
      </w:pPr>
      <w:r w:rsidRPr="001F1D8E">
        <w:rPr>
          <w:rFonts w:ascii="Garamond" w:hAnsi="Garamond" w:cs="Times New Roman"/>
          <w:sz w:val="24"/>
          <w:szCs w:val="24"/>
        </w:rPr>
        <w:t xml:space="preserve">By design, the LFE MCs were not created to be limited to specific purposes but to fit into the varied and local contexts in which states, districts or organizations would like to use them to support the in-service needs of building-level leaders. </w:t>
      </w:r>
    </w:p>
    <w:p w14:paraId="0A39CB0F" w14:textId="0D54EECD" w:rsidR="00775AE5" w:rsidRPr="00775AE5" w:rsidRDefault="00775AE5" w:rsidP="00484FC1">
      <w:pPr>
        <w:pStyle w:val="ListParagraph"/>
        <w:numPr>
          <w:ilvl w:val="0"/>
          <w:numId w:val="2"/>
        </w:numPr>
        <w:rPr>
          <w:rFonts w:ascii="Garamond" w:hAnsi="Garamond"/>
          <w:color w:val="CE1126"/>
        </w:rPr>
      </w:pPr>
      <w:r w:rsidRPr="00775AE5">
        <w:rPr>
          <w:rFonts w:ascii="Garamond" w:eastAsiaTheme="minorEastAsia" w:hAnsi="Garamond" w:cstheme="minorBidi"/>
          <w:color w:val="000000" w:themeColor="text1"/>
          <w:kern w:val="24"/>
        </w:rPr>
        <w:t xml:space="preserve">In Illinois, administrators will be awarded Illinois Administrator Academy </w:t>
      </w:r>
      <w:r>
        <w:rPr>
          <w:rFonts w:ascii="Garamond" w:eastAsiaTheme="minorEastAsia" w:hAnsi="Garamond" w:cstheme="minorBidi"/>
          <w:color w:val="000000" w:themeColor="text1"/>
          <w:kern w:val="24"/>
        </w:rPr>
        <w:t xml:space="preserve">(IAA) </w:t>
      </w:r>
      <w:r w:rsidRPr="00775AE5">
        <w:rPr>
          <w:rFonts w:ascii="Garamond" w:eastAsiaTheme="minorEastAsia" w:hAnsi="Garamond" w:cstheme="minorBidi"/>
          <w:color w:val="000000" w:themeColor="text1"/>
          <w:kern w:val="24"/>
        </w:rPr>
        <w:t xml:space="preserve">credit for </w:t>
      </w:r>
      <w:r>
        <w:rPr>
          <w:rFonts w:ascii="Garamond" w:eastAsiaTheme="minorEastAsia" w:hAnsi="Garamond" w:cstheme="minorBidi"/>
          <w:color w:val="000000" w:themeColor="text1"/>
          <w:kern w:val="24"/>
        </w:rPr>
        <w:t>completion of LFE MC</w:t>
      </w:r>
      <w:r w:rsidRPr="00775AE5">
        <w:rPr>
          <w:rFonts w:ascii="Garamond" w:eastAsiaTheme="minorEastAsia" w:hAnsi="Garamond" w:cstheme="minorBidi"/>
          <w:color w:val="000000" w:themeColor="text1"/>
          <w:kern w:val="24"/>
        </w:rPr>
        <w:t xml:space="preserve"> and </w:t>
      </w:r>
      <w:r>
        <w:rPr>
          <w:rFonts w:ascii="Garamond" w:eastAsiaTheme="minorEastAsia" w:hAnsi="Garamond" w:cstheme="minorBidi"/>
          <w:color w:val="000000" w:themeColor="text1"/>
          <w:kern w:val="24"/>
        </w:rPr>
        <w:t xml:space="preserve">will </w:t>
      </w:r>
      <w:r w:rsidRPr="00775AE5">
        <w:rPr>
          <w:rFonts w:ascii="Garamond" w:eastAsiaTheme="minorEastAsia" w:hAnsi="Garamond" w:cstheme="minorBidi"/>
          <w:color w:val="000000" w:themeColor="text1"/>
          <w:kern w:val="24"/>
        </w:rPr>
        <w:t xml:space="preserve">receive recognition for completion of the MC on their professional license. </w:t>
      </w:r>
    </w:p>
    <w:p w14:paraId="662FC5A1" w14:textId="2CF49D21" w:rsidR="00775AE5" w:rsidRPr="00775AE5" w:rsidRDefault="00775AE5" w:rsidP="00484FC1">
      <w:pPr>
        <w:pStyle w:val="ListParagraph"/>
        <w:numPr>
          <w:ilvl w:val="0"/>
          <w:numId w:val="2"/>
        </w:numPr>
        <w:rPr>
          <w:rFonts w:ascii="Garamond" w:hAnsi="Garamond"/>
          <w:color w:val="CE1126"/>
        </w:rPr>
      </w:pPr>
      <w:r w:rsidRPr="00775AE5">
        <w:rPr>
          <w:rFonts w:ascii="Garamond" w:eastAsiaTheme="minorEastAsia" w:hAnsi="Garamond" w:cstheme="minorBidi"/>
          <w:color w:val="000000" w:themeColor="text1"/>
          <w:kern w:val="24"/>
        </w:rPr>
        <w:t xml:space="preserve">In Tennessee, principals will receive 7 hours of </w:t>
      </w:r>
      <w:r>
        <w:rPr>
          <w:rFonts w:ascii="Garamond" w:eastAsiaTheme="minorEastAsia" w:hAnsi="Garamond" w:cstheme="minorBidi"/>
          <w:color w:val="000000" w:themeColor="text1"/>
          <w:kern w:val="24"/>
        </w:rPr>
        <w:t>T</w:t>
      </w:r>
      <w:r w:rsidR="00CD4759">
        <w:rPr>
          <w:rFonts w:ascii="Garamond" w:eastAsiaTheme="minorEastAsia" w:hAnsi="Garamond" w:cstheme="minorBidi"/>
          <w:color w:val="000000" w:themeColor="text1"/>
          <w:kern w:val="24"/>
        </w:rPr>
        <w:t>N</w:t>
      </w:r>
      <w:r>
        <w:rPr>
          <w:rFonts w:ascii="Garamond" w:eastAsiaTheme="minorEastAsia" w:hAnsi="Garamond" w:cstheme="minorBidi"/>
          <w:color w:val="000000" w:themeColor="text1"/>
          <w:kern w:val="24"/>
        </w:rPr>
        <w:t xml:space="preserve"> Academy for School Leaders (</w:t>
      </w:r>
      <w:r w:rsidRPr="00775AE5">
        <w:rPr>
          <w:rFonts w:ascii="Garamond" w:eastAsiaTheme="minorEastAsia" w:hAnsi="Garamond" w:cstheme="minorBidi"/>
          <w:color w:val="000000" w:themeColor="text1"/>
          <w:kern w:val="24"/>
        </w:rPr>
        <w:t>TASL</w:t>
      </w:r>
      <w:r>
        <w:rPr>
          <w:rFonts w:ascii="Garamond" w:eastAsiaTheme="minorEastAsia" w:hAnsi="Garamond" w:cstheme="minorBidi"/>
          <w:color w:val="000000" w:themeColor="text1"/>
          <w:kern w:val="24"/>
        </w:rPr>
        <w:t>)</w:t>
      </w:r>
      <w:r w:rsidRPr="00775AE5">
        <w:rPr>
          <w:rFonts w:ascii="Garamond" w:eastAsiaTheme="minorEastAsia" w:hAnsi="Garamond" w:cstheme="minorBidi"/>
          <w:color w:val="000000" w:themeColor="text1"/>
          <w:kern w:val="24"/>
        </w:rPr>
        <w:t xml:space="preserve"> </w:t>
      </w:r>
      <w:r w:rsidR="00CD4759">
        <w:rPr>
          <w:rFonts w:ascii="Garamond" w:eastAsiaTheme="minorEastAsia" w:hAnsi="Garamond" w:cstheme="minorBidi"/>
          <w:color w:val="000000" w:themeColor="text1"/>
          <w:kern w:val="24"/>
        </w:rPr>
        <w:t>c</w:t>
      </w:r>
      <w:r w:rsidRPr="00775AE5">
        <w:rPr>
          <w:rFonts w:ascii="Garamond" w:eastAsiaTheme="minorEastAsia" w:hAnsi="Garamond" w:cstheme="minorBidi"/>
          <w:color w:val="000000" w:themeColor="text1"/>
          <w:kern w:val="24"/>
        </w:rPr>
        <w:t xml:space="preserve">redit. </w:t>
      </w:r>
    </w:p>
    <w:p w14:paraId="51BDA0C2" w14:textId="6F319371" w:rsidR="00775AE5" w:rsidRPr="00775AE5" w:rsidRDefault="00484FC1" w:rsidP="00484FC1">
      <w:pPr>
        <w:pStyle w:val="ListParagraph"/>
        <w:numPr>
          <w:ilvl w:val="0"/>
          <w:numId w:val="2"/>
        </w:numPr>
        <w:rPr>
          <w:rFonts w:ascii="Garamond" w:hAnsi="Garamond"/>
          <w:color w:val="CE1126"/>
        </w:rPr>
      </w:pPr>
      <w:r>
        <w:rPr>
          <w:rFonts w:ascii="Garamond" w:eastAsiaTheme="minorEastAsia" w:hAnsi="Garamond" w:cstheme="minorBidi"/>
          <w:color w:val="000000" w:themeColor="text1"/>
          <w:kern w:val="24"/>
        </w:rPr>
        <w:t>Albany State University in</w:t>
      </w:r>
      <w:r w:rsidR="00775AE5" w:rsidRPr="00775AE5">
        <w:rPr>
          <w:rFonts w:ascii="Garamond" w:eastAsiaTheme="minorEastAsia" w:hAnsi="Garamond" w:cstheme="minorBidi"/>
          <w:color w:val="000000" w:themeColor="text1"/>
          <w:kern w:val="24"/>
        </w:rPr>
        <w:t xml:space="preserve"> Georgia </w:t>
      </w:r>
      <w:r>
        <w:rPr>
          <w:rFonts w:ascii="Garamond" w:eastAsiaTheme="minorEastAsia" w:hAnsi="Garamond" w:cstheme="minorBidi"/>
          <w:color w:val="000000" w:themeColor="text1"/>
          <w:kern w:val="24"/>
        </w:rPr>
        <w:t>has</w:t>
      </w:r>
      <w:r w:rsidR="00775AE5" w:rsidRPr="00775AE5">
        <w:rPr>
          <w:rFonts w:ascii="Garamond" w:eastAsiaTheme="minorEastAsia" w:hAnsi="Garamond" w:cstheme="minorBidi"/>
          <w:color w:val="000000" w:themeColor="text1"/>
          <w:kern w:val="24"/>
        </w:rPr>
        <w:t xml:space="preserve"> integrat</w:t>
      </w:r>
      <w:r>
        <w:rPr>
          <w:rFonts w:ascii="Garamond" w:eastAsiaTheme="minorEastAsia" w:hAnsi="Garamond" w:cstheme="minorBidi"/>
          <w:color w:val="000000" w:themeColor="text1"/>
          <w:kern w:val="24"/>
        </w:rPr>
        <w:t>ed</w:t>
      </w:r>
      <w:r w:rsidR="00775AE5" w:rsidRPr="00775AE5">
        <w:rPr>
          <w:rFonts w:ascii="Garamond" w:eastAsiaTheme="minorEastAsia" w:hAnsi="Garamond" w:cstheme="minorBidi"/>
          <w:color w:val="000000" w:themeColor="text1"/>
          <w:kern w:val="24"/>
        </w:rPr>
        <w:t xml:space="preserve"> the LFE MCs into their principal preparation program since all candidates in the program are currently assistant principals.</w:t>
      </w:r>
    </w:p>
    <w:p w14:paraId="72CD0233" w14:textId="77777777" w:rsidR="00775AE5" w:rsidRPr="00775AE5" w:rsidRDefault="00775AE5" w:rsidP="00484FC1">
      <w:pPr>
        <w:pStyle w:val="ListParagraph"/>
        <w:numPr>
          <w:ilvl w:val="0"/>
          <w:numId w:val="2"/>
        </w:numPr>
        <w:rPr>
          <w:rFonts w:ascii="Garamond" w:hAnsi="Garamond"/>
          <w:color w:val="CE1126"/>
        </w:rPr>
      </w:pPr>
      <w:r w:rsidRPr="00775AE5">
        <w:rPr>
          <w:rFonts w:ascii="Garamond" w:eastAsiaTheme="minorEastAsia" w:hAnsi="Garamond" w:cstheme="minorBidi"/>
          <w:color w:val="000000" w:themeColor="text1"/>
          <w:kern w:val="24"/>
        </w:rPr>
        <w:t xml:space="preserve">Another state is considering how MCs around the Professional Standards for Education Leadership (PSEL) can be built into an advanced credential. </w:t>
      </w:r>
    </w:p>
    <w:p w14:paraId="3DDA428F" w14:textId="77777777" w:rsidR="00775AE5" w:rsidRPr="00775AE5" w:rsidRDefault="00775AE5" w:rsidP="00484FC1">
      <w:pPr>
        <w:pStyle w:val="ListParagraph"/>
        <w:numPr>
          <w:ilvl w:val="0"/>
          <w:numId w:val="2"/>
        </w:numPr>
        <w:rPr>
          <w:rFonts w:ascii="Garamond" w:hAnsi="Garamond"/>
          <w:color w:val="CE1126"/>
        </w:rPr>
      </w:pPr>
      <w:r w:rsidRPr="00775AE5">
        <w:rPr>
          <w:rFonts w:ascii="Garamond" w:eastAsiaTheme="minorEastAsia" w:hAnsi="Garamond" w:cstheme="minorBidi"/>
          <w:color w:val="000000" w:themeColor="text1"/>
          <w:kern w:val="24"/>
        </w:rPr>
        <w:t>BloomBoard is in the process of developing a cluster of MCs aligned to the Professional Standards for Educational Leadership (PSEL), and the four LFE MCs, which are aligned with the national PSEL standards will be part of this cluster.</w:t>
      </w:r>
    </w:p>
    <w:p w14:paraId="19FE3513" w14:textId="77777777" w:rsidR="00CD4759" w:rsidRDefault="00CD4759" w:rsidP="00484FC1">
      <w:pPr>
        <w:spacing w:after="0" w:line="240" w:lineRule="auto"/>
        <w:rPr>
          <w:rFonts w:ascii="Garamond" w:hAnsi="Garamond" w:cs="Times New Roman"/>
          <w:sz w:val="24"/>
          <w:szCs w:val="24"/>
        </w:rPr>
      </w:pPr>
    </w:p>
    <w:p w14:paraId="029FBDD1" w14:textId="22A11DBA" w:rsidR="00EE78B3" w:rsidRPr="00C86BE0" w:rsidRDefault="00775AE5" w:rsidP="00484FC1">
      <w:pPr>
        <w:spacing w:after="0" w:line="240" w:lineRule="auto"/>
        <w:rPr>
          <w:rFonts w:ascii="Garamond" w:hAnsi="Garamond" w:cs="Times New Roman"/>
          <w:sz w:val="24"/>
          <w:szCs w:val="24"/>
        </w:rPr>
      </w:pPr>
      <w:r>
        <w:rPr>
          <w:rFonts w:ascii="Garamond" w:hAnsi="Garamond" w:cs="Times New Roman"/>
          <w:sz w:val="24"/>
          <w:szCs w:val="24"/>
        </w:rPr>
        <w:t>The LFE</w:t>
      </w:r>
      <w:r w:rsidR="00302340" w:rsidRPr="001F1D8E">
        <w:rPr>
          <w:rFonts w:ascii="Garamond" w:hAnsi="Garamond" w:cs="Times New Roman"/>
          <w:sz w:val="24"/>
          <w:szCs w:val="24"/>
        </w:rPr>
        <w:t xml:space="preserve"> MCs will be housed on the BloomBoard platform upon the completion of the pilot and available to principals and assistant principals nationally for a fee for service. </w:t>
      </w:r>
    </w:p>
    <w:sectPr w:rsidR="00EE78B3" w:rsidRPr="00C86BE0" w:rsidSect="00E3427E">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32B3" w14:textId="77777777" w:rsidR="00FA6113" w:rsidRDefault="00FA6113" w:rsidP="00A60F74">
      <w:pPr>
        <w:spacing w:after="0" w:line="240" w:lineRule="auto"/>
      </w:pPr>
      <w:r>
        <w:separator/>
      </w:r>
    </w:p>
  </w:endnote>
  <w:endnote w:type="continuationSeparator" w:id="0">
    <w:p w14:paraId="78C6B72E" w14:textId="77777777" w:rsidR="00FA6113" w:rsidRDefault="00FA6113" w:rsidP="00A6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936E" w14:textId="77777777" w:rsidR="00091E59" w:rsidRDefault="0009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044F" w14:textId="2BFD2327" w:rsidR="00A60F74" w:rsidRPr="00E3427E" w:rsidRDefault="00A60F74" w:rsidP="00A60F74">
    <w:pPr>
      <w:pStyle w:val="Footer"/>
      <w:jc w:val="center"/>
      <w:rPr>
        <w:rFonts w:ascii="Garamond" w:hAnsi="Garamond"/>
        <w:color w:val="454545" w:themeColor="text2"/>
        <w:sz w:val="18"/>
      </w:rPr>
    </w:pPr>
    <w:r w:rsidRPr="00E3427E">
      <w:rPr>
        <w:rFonts w:ascii="Garamond" w:hAnsi="Garamond"/>
        <w:noProof/>
        <w:color w:val="454545" w:themeColor="text2"/>
        <w:sz w:val="18"/>
      </w:rPr>
      <w:drawing>
        <wp:inline distT="0" distB="0" distL="0" distR="0" wp14:anchorId="77D70916" wp14:editId="6E0F2542">
          <wp:extent cx="1377949" cy="44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ading-Ed-horizontal-50.png"/>
                  <pic:cNvPicPr/>
                </pic:nvPicPr>
                <pic:blipFill>
                  <a:blip r:embed="rId1">
                    <a:extLst>
                      <a:ext uri="{28A0092B-C50C-407E-A947-70E740481C1C}">
                        <a14:useLocalDpi xmlns:a14="http://schemas.microsoft.com/office/drawing/2010/main" val="0"/>
                      </a:ext>
                    </a:extLst>
                  </a:blip>
                  <a:stretch>
                    <a:fillRect/>
                  </a:stretch>
                </pic:blipFill>
                <pic:spPr>
                  <a:xfrm>
                    <a:off x="0" y="0"/>
                    <a:ext cx="1377949" cy="441325"/>
                  </a:xfrm>
                  <a:prstGeom prst="rect">
                    <a:avLst/>
                  </a:prstGeom>
                </pic:spPr>
              </pic:pic>
            </a:graphicData>
          </a:graphic>
        </wp:inline>
      </w:drawing>
    </w:r>
  </w:p>
  <w:p w14:paraId="293A530E" w14:textId="3B593510" w:rsidR="00A60F74" w:rsidRPr="00091E59" w:rsidRDefault="00A60F74" w:rsidP="00A60F74">
    <w:pPr>
      <w:pStyle w:val="Footer"/>
      <w:jc w:val="center"/>
      <w:rPr>
        <w:rFonts w:ascii="Garamond" w:hAnsi="Garamond"/>
        <w:color w:val="454545" w:themeColor="text2"/>
        <w:sz w:val="24"/>
        <w:szCs w:val="24"/>
      </w:rPr>
    </w:pPr>
    <w:r w:rsidRPr="00091E59">
      <w:rPr>
        <w:rFonts w:ascii="Garamond" w:hAnsi="Garamond"/>
        <w:color w:val="454545" w:themeColor="text2"/>
        <w:sz w:val="24"/>
        <w:szCs w:val="24"/>
      </w:rPr>
      <w:t xml:space="preserve">For more information, contact Dr. Erika Hunt at </w:t>
    </w:r>
    <w:hyperlink r:id="rId2" w:history="1">
      <w:r w:rsidRPr="00091E59">
        <w:rPr>
          <w:rStyle w:val="Hyperlink"/>
          <w:rFonts w:ascii="Garamond" w:hAnsi="Garamond"/>
          <w:color w:val="454545" w:themeColor="text2"/>
          <w:sz w:val="24"/>
          <w:szCs w:val="24"/>
        </w:rPr>
        <w:t>elhunt@ilstu.edu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C1AC" w14:textId="77777777" w:rsidR="00091E59" w:rsidRDefault="0009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3B94" w14:textId="77777777" w:rsidR="00FA6113" w:rsidRDefault="00FA6113" w:rsidP="00A60F74">
      <w:pPr>
        <w:spacing w:after="0" w:line="240" w:lineRule="auto"/>
      </w:pPr>
      <w:r>
        <w:separator/>
      </w:r>
    </w:p>
  </w:footnote>
  <w:footnote w:type="continuationSeparator" w:id="0">
    <w:p w14:paraId="7AF7F9AA" w14:textId="77777777" w:rsidR="00FA6113" w:rsidRDefault="00FA6113" w:rsidP="00A6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43A6" w14:textId="77777777" w:rsidR="00091E59" w:rsidRDefault="0009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D0B0" w14:textId="77777777" w:rsidR="00091E59" w:rsidRDefault="00091E5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749C" w14:textId="77777777" w:rsidR="00091E59" w:rsidRDefault="0009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42A6"/>
    <w:multiLevelType w:val="hybridMultilevel"/>
    <w:tmpl w:val="561E4296"/>
    <w:lvl w:ilvl="0" w:tplc="CE2E31DE">
      <w:start w:val="1"/>
      <w:numFmt w:val="bullet"/>
      <w:lvlText w:val="•"/>
      <w:lvlJc w:val="left"/>
      <w:pPr>
        <w:tabs>
          <w:tab w:val="num" w:pos="720"/>
        </w:tabs>
        <w:ind w:left="720" w:hanging="360"/>
      </w:pPr>
      <w:rPr>
        <w:rFonts w:ascii="Corbel" w:hAnsi="Corbel" w:hint="default"/>
      </w:rPr>
    </w:lvl>
    <w:lvl w:ilvl="1" w:tplc="76FC0C60">
      <w:start w:val="114"/>
      <w:numFmt w:val="bullet"/>
      <w:lvlText w:val="•"/>
      <w:lvlJc w:val="left"/>
      <w:pPr>
        <w:tabs>
          <w:tab w:val="num" w:pos="1440"/>
        </w:tabs>
        <w:ind w:left="1440" w:hanging="360"/>
      </w:pPr>
      <w:rPr>
        <w:rFonts w:ascii="Corbel" w:hAnsi="Corbel" w:hint="default"/>
      </w:rPr>
    </w:lvl>
    <w:lvl w:ilvl="2" w:tplc="0318236A" w:tentative="1">
      <w:start w:val="1"/>
      <w:numFmt w:val="bullet"/>
      <w:lvlText w:val="•"/>
      <w:lvlJc w:val="left"/>
      <w:pPr>
        <w:tabs>
          <w:tab w:val="num" w:pos="2160"/>
        </w:tabs>
        <w:ind w:left="2160" w:hanging="360"/>
      </w:pPr>
      <w:rPr>
        <w:rFonts w:ascii="Corbel" w:hAnsi="Corbel" w:hint="default"/>
      </w:rPr>
    </w:lvl>
    <w:lvl w:ilvl="3" w:tplc="E12615C4" w:tentative="1">
      <w:start w:val="1"/>
      <w:numFmt w:val="bullet"/>
      <w:lvlText w:val="•"/>
      <w:lvlJc w:val="left"/>
      <w:pPr>
        <w:tabs>
          <w:tab w:val="num" w:pos="2880"/>
        </w:tabs>
        <w:ind w:left="2880" w:hanging="360"/>
      </w:pPr>
      <w:rPr>
        <w:rFonts w:ascii="Corbel" w:hAnsi="Corbel" w:hint="default"/>
      </w:rPr>
    </w:lvl>
    <w:lvl w:ilvl="4" w:tplc="7A26A6EE" w:tentative="1">
      <w:start w:val="1"/>
      <w:numFmt w:val="bullet"/>
      <w:lvlText w:val="•"/>
      <w:lvlJc w:val="left"/>
      <w:pPr>
        <w:tabs>
          <w:tab w:val="num" w:pos="3600"/>
        </w:tabs>
        <w:ind w:left="3600" w:hanging="360"/>
      </w:pPr>
      <w:rPr>
        <w:rFonts w:ascii="Corbel" w:hAnsi="Corbel" w:hint="default"/>
      </w:rPr>
    </w:lvl>
    <w:lvl w:ilvl="5" w:tplc="976CA8FE" w:tentative="1">
      <w:start w:val="1"/>
      <w:numFmt w:val="bullet"/>
      <w:lvlText w:val="•"/>
      <w:lvlJc w:val="left"/>
      <w:pPr>
        <w:tabs>
          <w:tab w:val="num" w:pos="4320"/>
        </w:tabs>
        <w:ind w:left="4320" w:hanging="360"/>
      </w:pPr>
      <w:rPr>
        <w:rFonts w:ascii="Corbel" w:hAnsi="Corbel" w:hint="default"/>
      </w:rPr>
    </w:lvl>
    <w:lvl w:ilvl="6" w:tplc="BD90B10A" w:tentative="1">
      <w:start w:val="1"/>
      <w:numFmt w:val="bullet"/>
      <w:lvlText w:val="•"/>
      <w:lvlJc w:val="left"/>
      <w:pPr>
        <w:tabs>
          <w:tab w:val="num" w:pos="5040"/>
        </w:tabs>
        <w:ind w:left="5040" w:hanging="360"/>
      </w:pPr>
      <w:rPr>
        <w:rFonts w:ascii="Corbel" w:hAnsi="Corbel" w:hint="default"/>
      </w:rPr>
    </w:lvl>
    <w:lvl w:ilvl="7" w:tplc="57FA8E70" w:tentative="1">
      <w:start w:val="1"/>
      <w:numFmt w:val="bullet"/>
      <w:lvlText w:val="•"/>
      <w:lvlJc w:val="left"/>
      <w:pPr>
        <w:tabs>
          <w:tab w:val="num" w:pos="5760"/>
        </w:tabs>
        <w:ind w:left="5760" w:hanging="360"/>
      </w:pPr>
      <w:rPr>
        <w:rFonts w:ascii="Corbel" w:hAnsi="Corbel" w:hint="default"/>
      </w:rPr>
    </w:lvl>
    <w:lvl w:ilvl="8" w:tplc="C9D8F670"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1C1B011B"/>
    <w:multiLevelType w:val="hybridMultilevel"/>
    <w:tmpl w:val="DE142240"/>
    <w:lvl w:ilvl="0" w:tplc="3A78A1DC">
      <w:start w:val="1"/>
      <w:numFmt w:val="bullet"/>
      <w:lvlText w:val="•"/>
      <w:lvlJc w:val="left"/>
      <w:pPr>
        <w:tabs>
          <w:tab w:val="num" w:pos="720"/>
        </w:tabs>
        <w:ind w:left="720" w:hanging="360"/>
      </w:pPr>
      <w:rPr>
        <w:rFonts w:ascii="Corbel" w:hAnsi="Corbel" w:hint="default"/>
        <w:color w:val="12408E" w:themeColor="accent5" w:themeShade="BF"/>
      </w:rPr>
    </w:lvl>
    <w:lvl w:ilvl="1" w:tplc="140A1230" w:tentative="1">
      <w:start w:val="1"/>
      <w:numFmt w:val="bullet"/>
      <w:lvlText w:val="•"/>
      <w:lvlJc w:val="left"/>
      <w:pPr>
        <w:tabs>
          <w:tab w:val="num" w:pos="1440"/>
        </w:tabs>
        <w:ind w:left="1440" w:hanging="360"/>
      </w:pPr>
      <w:rPr>
        <w:rFonts w:ascii="Corbel" w:hAnsi="Corbel" w:hint="default"/>
      </w:rPr>
    </w:lvl>
    <w:lvl w:ilvl="2" w:tplc="063C6458" w:tentative="1">
      <w:start w:val="1"/>
      <w:numFmt w:val="bullet"/>
      <w:lvlText w:val="•"/>
      <w:lvlJc w:val="left"/>
      <w:pPr>
        <w:tabs>
          <w:tab w:val="num" w:pos="2160"/>
        </w:tabs>
        <w:ind w:left="2160" w:hanging="360"/>
      </w:pPr>
      <w:rPr>
        <w:rFonts w:ascii="Corbel" w:hAnsi="Corbel" w:hint="default"/>
      </w:rPr>
    </w:lvl>
    <w:lvl w:ilvl="3" w:tplc="1B98DA50" w:tentative="1">
      <w:start w:val="1"/>
      <w:numFmt w:val="bullet"/>
      <w:lvlText w:val="•"/>
      <w:lvlJc w:val="left"/>
      <w:pPr>
        <w:tabs>
          <w:tab w:val="num" w:pos="2880"/>
        </w:tabs>
        <w:ind w:left="2880" w:hanging="360"/>
      </w:pPr>
      <w:rPr>
        <w:rFonts w:ascii="Corbel" w:hAnsi="Corbel" w:hint="default"/>
      </w:rPr>
    </w:lvl>
    <w:lvl w:ilvl="4" w:tplc="D19600A6" w:tentative="1">
      <w:start w:val="1"/>
      <w:numFmt w:val="bullet"/>
      <w:lvlText w:val="•"/>
      <w:lvlJc w:val="left"/>
      <w:pPr>
        <w:tabs>
          <w:tab w:val="num" w:pos="3600"/>
        </w:tabs>
        <w:ind w:left="3600" w:hanging="360"/>
      </w:pPr>
      <w:rPr>
        <w:rFonts w:ascii="Corbel" w:hAnsi="Corbel" w:hint="default"/>
      </w:rPr>
    </w:lvl>
    <w:lvl w:ilvl="5" w:tplc="3E70C384" w:tentative="1">
      <w:start w:val="1"/>
      <w:numFmt w:val="bullet"/>
      <w:lvlText w:val="•"/>
      <w:lvlJc w:val="left"/>
      <w:pPr>
        <w:tabs>
          <w:tab w:val="num" w:pos="4320"/>
        </w:tabs>
        <w:ind w:left="4320" w:hanging="360"/>
      </w:pPr>
      <w:rPr>
        <w:rFonts w:ascii="Corbel" w:hAnsi="Corbel" w:hint="default"/>
      </w:rPr>
    </w:lvl>
    <w:lvl w:ilvl="6" w:tplc="147A0D4A" w:tentative="1">
      <w:start w:val="1"/>
      <w:numFmt w:val="bullet"/>
      <w:lvlText w:val="•"/>
      <w:lvlJc w:val="left"/>
      <w:pPr>
        <w:tabs>
          <w:tab w:val="num" w:pos="5040"/>
        </w:tabs>
        <w:ind w:left="5040" w:hanging="360"/>
      </w:pPr>
      <w:rPr>
        <w:rFonts w:ascii="Corbel" w:hAnsi="Corbel" w:hint="default"/>
      </w:rPr>
    </w:lvl>
    <w:lvl w:ilvl="7" w:tplc="39AA9D68" w:tentative="1">
      <w:start w:val="1"/>
      <w:numFmt w:val="bullet"/>
      <w:lvlText w:val="•"/>
      <w:lvlJc w:val="left"/>
      <w:pPr>
        <w:tabs>
          <w:tab w:val="num" w:pos="5760"/>
        </w:tabs>
        <w:ind w:left="5760" w:hanging="360"/>
      </w:pPr>
      <w:rPr>
        <w:rFonts w:ascii="Corbel" w:hAnsi="Corbel" w:hint="default"/>
      </w:rPr>
    </w:lvl>
    <w:lvl w:ilvl="8" w:tplc="221E2B7C" w:tentative="1">
      <w:start w:val="1"/>
      <w:numFmt w:val="bullet"/>
      <w:lvlText w:val="•"/>
      <w:lvlJc w:val="left"/>
      <w:pPr>
        <w:tabs>
          <w:tab w:val="num" w:pos="6480"/>
        </w:tabs>
        <w:ind w:left="6480" w:hanging="360"/>
      </w:pPr>
      <w:rPr>
        <w:rFonts w:ascii="Corbel" w:hAnsi="Corbe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40"/>
    <w:rsid w:val="00032B91"/>
    <w:rsid w:val="00056B6D"/>
    <w:rsid w:val="00091E59"/>
    <w:rsid w:val="0009302A"/>
    <w:rsid w:val="000952BF"/>
    <w:rsid w:val="000F7CAF"/>
    <w:rsid w:val="00101451"/>
    <w:rsid w:val="00132E0D"/>
    <w:rsid w:val="001F1D8E"/>
    <w:rsid w:val="0022080C"/>
    <w:rsid w:val="0022325C"/>
    <w:rsid w:val="00302340"/>
    <w:rsid w:val="0031716B"/>
    <w:rsid w:val="00343C14"/>
    <w:rsid w:val="003A30B6"/>
    <w:rsid w:val="00411D18"/>
    <w:rsid w:val="00435D3F"/>
    <w:rsid w:val="00484FC1"/>
    <w:rsid w:val="00490461"/>
    <w:rsid w:val="004A4C8F"/>
    <w:rsid w:val="00514E53"/>
    <w:rsid w:val="00642DFB"/>
    <w:rsid w:val="00654062"/>
    <w:rsid w:val="00664B57"/>
    <w:rsid w:val="006A21D7"/>
    <w:rsid w:val="00775AE5"/>
    <w:rsid w:val="007B0F62"/>
    <w:rsid w:val="007D788B"/>
    <w:rsid w:val="00825188"/>
    <w:rsid w:val="00864BDA"/>
    <w:rsid w:val="008D4106"/>
    <w:rsid w:val="00A03234"/>
    <w:rsid w:val="00A20CCE"/>
    <w:rsid w:val="00A33A7E"/>
    <w:rsid w:val="00A60F74"/>
    <w:rsid w:val="00AB0FD3"/>
    <w:rsid w:val="00B76EDE"/>
    <w:rsid w:val="00BA2D72"/>
    <w:rsid w:val="00BC2917"/>
    <w:rsid w:val="00BD5F9E"/>
    <w:rsid w:val="00C86BE0"/>
    <w:rsid w:val="00CA2075"/>
    <w:rsid w:val="00CD4759"/>
    <w:rsid w:val="00D37D5F"/>
    <w:rsid w:val="00E3427E"/>
    <w:rsid w:val="00E52141"/>
    <w:rsid w:val="00E72D7E"/>
    <w:rsid w:val="00EC44B7"/>
    <w:rsid w:val="00EF5382"/>
    <w:rsid w:val="00F97EEB"/>
    <w:rsid w:val="00FA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CF56F8"/>
  <w15:chartTrackingRefBased/>
  <w15:docId w15:val="{07C3E326-C3EC-4235-9D23-EBFB1D20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340"/>
    <w:rPr>
      <w:color w:val="0D2F66" w:themeColor="hyperlink"/>
      <w:u w:val="single"/>
    </w:rPr>
  </w:style>
  <w:style w:type="table" w:styleId="TableGrid">
    <w:name w:val="Table Grid"/>
    <w:basedOn w:val="TableNormal"/>
    <w:uiPriority w:val="39"/>
    <w:rsid w:val="007B0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F1D8E"/>
    <w:pPr>
      <w:spacing w:after="0" w:line="240" w:lineRule="auto"/>
    </w:pPr>
    <w:tblPr>
      <w:tblStyleRowBandSize w:val="1"/>
      <w:tblStyleColBandSize w:val="1"/>
      <w:tblBorders>
        <w:top w:val="single" w:sz="4" w:space="0" w:color="F15F6F" w:themeColor="accent1" w:themeTint="99"/>
        <w:left w:val="single" w:sz="4" w:space="0" w:color="F15F6F" w:themeColor="accent1" w:themeTint="99"/>
        <w:bottom w:val="single" w:sz="4" w:space="0" w:color="F15F6F" w:themeColor="accent1" w:themeTint="99"/>
        <w:right w:val="single" w:sz="4" w:space="0" w:color="F15F6F" w:themeColor="accent1" w:themeTint="99"/>
        <w:insideH w:val="single" w:sz="4" w:space="0" w:color="F15F6F" w:themeColor="accent1" w:themeTint="99"/>
        <w:insideV w:val="single" w:sz="4" w:space="0" w:color="F15F6F" w:themeColor="accent1" w:themeTint="99"/>
      </w:tblBorders>
    </w:tblPr>
    <w:tblStylePr w:type="firstRow">
      <w:rPr>
        <w:b/>
        <w:bCs/>
        <w:color w:val="FFFFFF" w:themeColor="background1"/>
      </w:rPr>
      <w:tblPr/>
      <w:tcPr>
        <w:tcBorders>
          <w:top w:val="single" w:sz="4" w:space="0" w:color="CE1126" w:themeColor="accent1"/>
          <w:left w:val="single" w:sz="4" w:space="0" w:color="CE1126" w:themeColor="accent1"/>
          <w:bottom w:val="single" w:sz="4" w:space="0" w:color="CE1126" w:themeColor="accent1"/>
          <w:right w:val="single" w:sz="4" w:space="0" w:color="CE1126" w:themeColor="accent1"/>
          <w:insideH w:val="nil"/>
          <w:insideV w:val="nil"/>
        </w:tcBorders>
        <w:shd w:val="clear" w:color="auto" w:fill="CE1126" w:themeFill="accent1"/>
      </w:tcPr>
    </w:tblStylePr>
    <w:tblStylePr w:type="lastRow">
      <w:rPr>
        <w:b/>
        <w:bCs/>
      </w:rPr>
      <w:tblPr/>
      <w:tcPr>
        <w:tcBorders>
          <w:top w:val="double" w:sz="4" w:space="0" w:color="CE1126" w:themeColor="accent1"/>
        </w:tcBorders>
      </w:tcPr>
    </w:tblStylePr>
    <w:tblStylePr w:type="firstCol">
      <w:rPr>
        <w:b/>
        <w:bCs/>
      </w:rPr>
    </w:tblStylePr>
    <w:tblStylePr w:type="lastCol">
      <w:rPr>
        <w:b/>
        <w:bCs/>
      </w:rPr>
    </w:tblStylePr>
    <w:tblStylePr w:type="band1Vert">
      <w:tblPr/>
      <w:tcPr>
        <w:shd w:val="clear" w:color="auto" w:fill="FAC9CF" w:themeFill="accent1" w:themeFillTint="33"/>
      </w:tcPr>
    </w:tblStylePr>
    <w:tblStylePr w:type="band1Horz">
      <w:tblPr/>
      <w:tcPr>
        <w:shd w:val="clear" w:color="auto" w:fill="FAC9CF" w:themeFill="accent1" w:themeFillTint="33"/>
      </w:tcPr>
    </w:tblStylePr>
  </w:style>
  <w:style w:type="paragraph" w:styleId="Caption">
    <w:name w:val="caption"/>
    <w:basedOn w:val="Normal"/>
    <w:next w:val="Normal"/>
    <w:uiPriority w:val="35"/>
    <w:unhideWhenUsed/>
    <w:qFormat/>
    <w:rsid w:val="0022080C"/>
    <w:pPr>
      <w:spacing w:after="200" w:line="240" w:lineRule="auto"/>
    </w:pPr>
    <w:rPr>
      <w:i/>
      <w:iCs/>
      <w:color w:val="454545" w:themeColor="text2"/>
      <w:sz w:val="18"/>
      <w:szCs w:val="18"/>
    </w:rPr>
  </w:style>
  <w:style w:type="paragraph" w:styleId="Header">
    <w:name w:val="header"/>
    <w:basedOn w:val="Normal"/>
    <w:link w:val="HeaderChar"/>
    <w:uiPriority w:val="99"/>
    <w:unhideWhenUsed/>
    <w:rsid w:val="00A6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74"/>
  </w:style>
  <w:style w:type="paragraph" w:styleId="Footer">
    <w:name w:val="footer"/>
    <w:basedOn w:val="Normal"/>
    <w:link w:val="FooterChar"/>
    <w:uiPriority w:val="99"/>
    <w:unhideWhenUsed/>
    <w:rsid w:val="00A6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74"/>
  </w:style>
  <w:style w:type="character" w:styleId="UnresolvedMention">
    <w:name w:val="Unresolved Mention"/>
    <w:basedOn w:val="DefaultParagraphFont"/>
    <w:uiPriority w:val="99"/>
    <w:semiHidden/>
    <w:unhideWhenUsed/>
    <w:rsid w:val="00A60F74"/>
    <w:rPr>
      <w:color w:val="605E5C"/>
      <w:shd w:val="clear" w:color="auto" w:fill="E1DFDD"/>
    </w:rPr>
  </w:style>
  <w:style w:type="paragraph" w:styleId="ListParagraph">
    <w:name w:val="List Paragraph"/>
    <w:basedOn w:val="Normal"/>
    <w:uiPriority w:val="34"/>
    <w:qFormat/>
    <w:rsid w:val="00775AE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9E"/>
    <w:rPr>
      <w:rFonts w:ascii="Segoe UI" w:hAnsi="Segoe UI" w:cs="Segoe UI"/>
      <w:sz w:val="18"/>
      <w:szCs w:val="18"/>
    </w:rPr>
  </w:style>
  <w:style w:type="character" w:styleId="Strong">
    <w:name w:val="Strong"/>
    <w:basedOn w:val="DefaultParagraphFont"/>
    <w:uiPriority w:val="22"/>
    <w:qFormat/>
    <w:rsid w:val="00EC44B7"/>
    <w:rPr>
      <w:b/>
      <w:bCs/>
    </w:rPr>
  </w:style>
  <w:style w:type="table" w:styleId="GridTable4-Accent5">
    <w:name w:val="Grid Table 4 Accent 5"/>
    <w:basedOn w:val="TableNormal"/>
    <w:uiPriority w:val="49"/>
    <w:rsid w:val="00484FC1"/>
    <w:pPr>
      <w:spacing w:after="0" w:line="240" w:lineRule="auto"/>
    </w:pPr>
    <w:tblPr>
      <w:tblStyleRowBandSize w:val="1"/>
      <w:tblStyleColBandSize w:val="1"/>
      <w:tblBorders>
        <w:top w:val="single" w:sz="4" w:space="0" w:color="6195EB" w:themeColor="accent5" w:themeTint="99"/>
        <w:left w:val="single" w:sz="4" w:space="0" w:color="6195EB" w:themeColor="accent5" w:themeTint="99"/>
        <w:bottom w:val="single" w:sz="4" w:space="0" w:color="6195EB" w:themeColor="accent5" w:themeTint="99"/>
        <w:right w:val="single" w:sz="4" w:space="0" w:color="6195EB" w:themeColor="accent5" w:themeTint="99"/>
        <w:insideH w:val="single" w:sz="4" w:space="0" w:color="6195EB" w:themeColor="accent5" w:themeTint="99"/>
        <w:insideV w:val="single" w:sz="4" w:space="0" w:color="6195EB" w:themeColor="accent5" w:themeTint="99"/>
      </w:tblBorders>
    </w:tblPr>
    <w:tblStylePr w:type="firstRow">
      <w:rPr>
        <w:b/>
        <w:bCs/>
        <w:color w:val="FFFFFF" w:themeColor="background1"/>
      </w:rPr>
      <w:tblPr/>
      <w:tcPr>
        <w:tcBorders>
          <w:top w:val="single" w:sz="4" w:space="0" w:color="1857BE" w:themeColor="accent5"/>
          <w:left w:val="single" w:sz="4" w:space="0" w:color="1857BE" w:themeColor="accent5"/>
          <w:bottom w:val="single" w:sz="4" w:space="0" w:color="1857BE" w:themeColor="accent5"/>
          <w:right w:val="single" w:sz="4" w:space="0" w:color="1857BE" w:themeColor="accent5"/>
          <w:insideH w:val="nil"/>
          <w:insideV w:val="nil"/>
        </w:tcBorders>
        <w:shd w:val="clear" w:color="auto" w:fill="1857BE" w:themeFill="accent5"/>
      </w:tcPr>
    </w:tblStylePr>
    <w:tblStylePr w:type="lastRow">
      <w:rPr>
        <w:b/>
        <w:bCs/>
      </w:rPr>
      <w:tblPr/>
      <w:tcPr>
        <w:tcBorders>
          <w:top w:val="double" w:sz="4" w:space="0" w:color="1857BE" w:themeColor="accent5"/>
        </w:tcBorders>
      </w:tcPr>
    </w:tblStylePr>
    <w:tblStylePr w:type="firstCol">
      <w:rPr>
        <w:b/>
        <w:bCs/>
      </w:rPr>
    </w:tblStylePr>
    <w:tblStylePr w:type="lastCol">
      <w:rPr>
        <w:b/>
        <w:bCs/>
      </w:rPr>
    </w:tblStylePr>
    <w:tblStylePr w:type="band1Vert">
      <w:tblPr/>
      <w:tcPr>
        <w:shd w:val="clear" w:color="auto" w:fill="CADBF8" w:themeFill="accent5" w:themeFillTint="33"/>
      </w:tcPr>
    </w:tblStylePr>
    <w:tblStylePr w:type="band1Horz">
      <w:tblPr/>
      <w:tcPr>
        <w:shd w:val="clear" w:color="auto" w:fill="CADBF8" w:themeFill="accent5" w:themeFillTint="33"/>
      </w:tcPr>
    </w:tblStylePr>
  </w:style>
  <w:style w:type="table" w:styleId="GridTable5Dark-Accent3">
    <w:name w:val="Grid Table 5 Dark Accent 3"/>
    <w:basedOn w:val="TableNormal"/>
    <w:uiPriority w:val="50"/>
    <w:rsid w:val="00484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0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2F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2F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2F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2F66" w:themeFill="accent3"/>
      </w:tcPr>
    </w:tblStylePr>
    <w:tblStylePr w:type="band1Vert">
      <w:tblPr/>
      <w:tcPr>
        <w:shd w:val="clear" w:color="auto" w:fill="72A1ED" w:themeFill="accent3" w:themeFillTint="66"/>
      </w:tcPr>
    </w:tblStylePr>
    <w:tblStylePr w:type="band1Horz">
      <w:tblPr/>
      <w:tcPr>
        <w:shd w:val="clear" w:color="auto" w:fill="72A1ED" w:themeFill="accent3" w:themeFillTint="66"/>
      </w:tcPr>
    </w:tblStylePr>
  </w:style>
  <w:style w:type="table" w:styleId="GridTable4-Accent3">
    <w:name w:val="Grid Table 4 Accent 3"/>
    <w:basedOn w:val="TableNormal"/>
    <w:uiPriority w:val="49"/>
    <w:rsid w:val="00484FC1"/>
    <w:pPr>
      <w:spacing w:after="0" w:line="240" w:lineRule="auto"/>
    </w:pPr>
    <w:tblPr>
      <w:tblStyleRowBandSize w:val="1"/>
      <w:tblStyleColBandSize w:val="1"/>
      <w:tblBorders>
        <w:top w:val="single" w:sz="4" w:space="0" w:color="2C72E4" w:themeColor="accent3" w:themeTint="99"/>
        <w:left w:val="single" w:sz="4" w:space="0" w:color="2C72E4" w:themeColor="accent3" w:themeTint="99"/>
        <w:bottom w:val="single" w:sz="4" w:space="0" w:color="2C72E4" w:themeColor="accent3" w:themeTint="99"/>
        <w:right w:val="single" w:sz="4" w:space="0" w:color="2C72E4" w:themeColor="accent3" w:themeTint="99"/>
        <w:insideH w:val="single" w:sz="4" w:space="0" w:color="2C72E4" w:themeColor="accent3" w:themeTint="99"/>
        <w:insideV w:val="single" w:sz="4" w:space="0" w:color="2C72E4" w:themeColor="accent3" w:themeTint="99"/>
      </w:tblBorders>
    </w:tblPr>
    <w:tblStylePr w:type="firstRow">
      <w:rPr>
        <w:b/>
        <w:bCs/>
        <w:color w:val="FFFFFF" w:themeColor="background1"/>
      </w:rPr>
      <w:tblPr/>
      <w:tcPr>
        <w:tcBorders>
          <w:top w:val="single" w:sz="4" w:space="0" w:color="0D2F66" w:themeColor="accent3"/>
          <w:left w:val="single" w:sz="4" w:space="0" w:color="0D2F66" w:themeColor="accent3"/>
          <w:bottom w:val="single" w:sz="4" w:space="0" w:color="0D2F66" w:themeColor="accent3"/>
          <w:right w:val="single" w:sz="4" w:space="0" w:color="0D2F66" w:themeColor="accent3"/>
          <w:insideH w:val="nil"/>
          <w:insideV w:val="nil"/>
        </w:tcBorders>
        <w:shd w:val="clear" w:color="auto" w:fill="0D2F66" w:themeFill="accent3"/>
      </w:tcPr>
    </w:tblStylePr>
    <w:tblStylePr w:type="lastRow">
      <w:rPr>
        <w:b/>
        <w:bCs/>
      </w:rPr>
      <w:tblPr/>
      <w:tcPr>
        <w:tcBorders>
          <w:top w:val="double" w:sz="4" w:space="0" w:color="0D2F66" w:themeColor="accent3"/>
        </w:tcBorders>
      </w:tcPr>
    </w:tblStylePr>
    <w:tblStylePr w:type="firstCol">
      <w:rPr>
        <w:b/>
        <w:bCs/>
      </w:rPr>
    </w:tblStylePr>
    <w:tblStylePr w:type="lastCol">
      <w:rPr>
        <w:b/>
        <w:bCs/>
      </w:rPr>
    </w:tblStylePr>
    <w:tblStylePr w:type="band1Vert">
      <w:tblPr/>
      <w:tcPr>
        <w:shd w:val="clear" w:color="auto" w:fill="B8D0F6" w:themeFill="accent3" w:themeFillTint="33"/>
      </w:tcPr>
    </w:tblStylePr>
    <w:tblStylePr w:type="band1Horz">
      <w:tblPr/>
      <w:tcPr>
        <w:shd w:val="clear" w:color="auto" w:fill="B8D0F6"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0199">
      <w:bodyDiv w:val="1"/>
      <w:marLeft w:val="0"/>
      <w:marRight w:val="0"/>
      <w:marTop w:val="0"/>
      <w:marBottom w:val="0"/>
      <w:divBdr>
        <w:top w:val="none" w:sz="0" w:space="0" w:color="auto"/>
        <w:left w:val="none" w:sz="0" w:space="0" w:color="auto"/>
        <w:bottom w:val="none" w:sz="0" w:space="0" w:color="auto"/>
        <w:right w:val="none" w:sz="0" w:space="0" w:color="auto"/>
      </w:divBdr>
      <w:divsChild>
        <w:div w:id="1419328975">
          <w:marLeft w:val="360"/>
          <w:marRight w:val="0"/>
          <w:marTop w:val="280"/>
          <w:marBottom w:val="0"/>
          <w:divBdr>
            <w:top w:val="none" w:sz="0" w:space="0" w:color="auto"/>
            <w:left w:val="none" w:sz="0" w:space="0" w:color="auto"/>
            <w:bottom w:val="none" w:sz="0" w:space="0" w:color="auto"/>
            <w:right w:val="none" w:sz="0" w:space="0" w:color="auto"/>
          </w:divBdr>
        </w:div>
        <w:div w:id="1258907699">
          <w:marLeft w:val="360"/>
          <w:marRight w:val="0"/>
          <w:marTop w:val="280"/>
          <w:marBottom w:val="0"/>
          <w:divBdr>
            <w:top w:val="none" w:sz="0" w:space="0" w:color="auto"/>
            <w:left w:val="none" w:sz="0" w:space="0" w:color="auto"/>
            <w:bottom w:val="none" w:sz="0" w:space="0" w:color="auto"/>
            <w:right w:val="none" w:sz="0" w:space="0" w:color="auto"/>
          </w:divBdr>
        </w:div>
        <w:div w:id="503976375">
          <w:marLeft w:val="360"/>
          <w:marRight w:val="0"/>
          <w:marTop w:val="280"/>
          <w:marBottom w:val="0"/>
          <w:divBdr>
            <w:top w:val="none" w:sz="0" w:space="0" w:color="auto"/>
            <w:left w:val="none" w:sz="0" w:space="0" w:color="auto"/>
            <w:bottom w:val="none" w:sz="0" w:space="0" w:color="auto"/>
            <w:right w:val="none" w:sz="0" w:space="0" w:color="auto"/>
          </w:divBdr>
        </w:div>
        <w:div w:id="74591559">
          <w:marLeft w:val="360"/>
          <w:marRight w:val="0"/>
          <w:marTop w:val="280"/>
          <w:marBottom w:val="0"/>
          <w:divBdr>
            <w:top w:val="none" w:sz="0" w:space="0" w:color="auto"/>
            <w:left w:val="none" w:sz="0" w:space="0" w:color="auto"/>
            <w:bottom w:val="none" w:sz="0" w:space="0" w:color="auto"/>
            <w:right w:val="none" w:sz="0" w:space="0" w:color="auto"/>
          </w:divBdr>
        </w:div>
        <w:div w:id="29116414">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education/reports/Tennessee-Leaders-for-Equity-Playboo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elhunt@ilstu.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eadingEdPartnerships">
      <a:dk1>
        <a:srgbClr val="000000"/>
      </a:dk1>
      <a:lt1>
        <a:sysClr val="window" lastClr="FFFFFF"/>
      </a:lt1>
      <a:dk2>
        <a:srgbClr val="454545"/>
      </a:dk2>
      <a:lt2>
        <a:srgbClr val="EDEBE7"/>
      </a:lt2>
      <a:accent1>
        <a:srgbClr val="CE1126"/>
      </a:accent1>
      <a:accent2>
        <a:srgbClr val="7F7F7F"/>
      </a:accent2>
      <a:accent3>
        <a:srgbClr val="0D2F66"/>
      </a:accent3>
      <a:accent4>
        <a:srgbClr val="EE2E45"/>
      </a:accent4>
      <a:accent5>
        <a:srgbClr val="1857BE"/>
      </a:accent5>
      <a:accent6>
        <a:srgbClr val="7F7F7F"/>
      </a:accent6>
      <a:hlink>
        <a:srgbClr val="0D2F66"/>
      </a:hlink>
      <a:folHlink>
        <a:srgbClr val="22222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F96F-8468-4AF0-8C98-72EF9F8B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Hunt</dc:creator>
  <cp:keywords/>
  <dc:description/>
  <cp:lastModifiedBy>Hunt, Erika</cp:lastModifiedBy>
  <cp:revision>2</cp:revision>
  <dcterms:created xsi:type="dcterms:W3CDTF">2019-10-14T15:27:00Z</dcterms:created>
  <dcterms:modified xsi:type="dcterms:W3CDTF">2019-10-14T15:27:00Z</dcterms:modified>
</cp:coreProperties>
</file>