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AA" w:rsidRPr="002A5ADE" w:rsidRDefault="008003AA" w:rsidP="008003AA">
      <w:pPr>
        <w:jc w:val="center"/>
        <w:rPr>
          <w:rFonts w:asciiTheme="majorHAnsi" w:hAnsiTheme="majorHAnsi"/>
          <w:b/>
          <w:sz w:val="26"/>
        </w:rPr>
      </w:pPr>
      <w:bookmarkStart w:id="0" w:name="_GoBack"/>
      <w:bookmarkEnd w:id="0"/>
      <w:r w:rsidRPr="002A5ADE">
        <w:rPr>
          <w:rFonts w:asciiTheme="majorHAnsi" w:hAnsiTheme="majorHAnsi"/>
          <w:b/>
          <w:sz w:val="26"/>
        </w:rPr>
        <w:t>Template</w:t>
      </w:r>
      <w:r w:rsidR="00CD3EBD">
        <w:rPr>
          <w:rFonts w:asciiTheme="majorHAnsi" w:hAnsiTheme="majorHAnsi"/>
          <w:b/>
          <w:sz w:val="26"/>
        </w:rPr>
        <w:t xml:space="preserve"> #1</w:t>
      </w:r>
      <w:r w:rsidRPr="002A5ADE">
        <w:rPr>
          <w:rFonts w:asciiTheme="majorHAnsi" w:hAnsiTheme="majorHAnsi"/>
          <w:b/>
          <w:sz w:val="26"/>
        </w:rPr>
        <w:t xml:space="preserve"> for </w:t>
      </w:r>
      <w:r w:rsidR="00DB1890">
        <w:rPr>
          <w:rFonts w:asciiTheme="majorHAnsi" w:hAnsiTheme="majorHAnsi"/>
          <w:b/>
          <w:sz w:val="26"/>
        </w:rPr>
        <w:t>Single-Point</w:t>
      </w:r>
      <w:r w:rsidRPr="002A5ADE">
        <w:rPr>
          <w:rFonts w:asciiTheme="majorHAnsi" w:hAnsiTheme="majorHAnsi"/>
          <w:b/>
          <w:sz w:val="26"/>
        </w:rPr>
        <w:t xml:space="preserve"> Rubric</w:t>
      </w:r>
    </w:p>
    <w:p w:rsidR="00552EA8" w:rsidRDefault="00552EA8" w:rsidP="008003AA">
      <w:pPr>
        <w:jc w:val="center"/>
      </w:pPr>
    </w:p>
    <w:p w:rsidR="008003AA" w:rsidRDefault="008003AA"/>
    <w:tbl>
      <w:tblPr>
        <w:tblStyle w:val="TableGrid"/>
        <w:tblW w:w="9535" w:type="dxa"/>
        <w:tblCellMar>
          <w:top w:w="144" w:type="dxa"/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3178"/>
        <w:gridCol w:w="3178"/>
        <w:gridCol w:w="3179"/>
      </w:tblGrid>
      <w:tr w:rsidR="005E7E0C" w:rsidRPr="00C06741" w:rsidTr="00C06741">
        <w:tc>
          <w:tcPr>
            <w:tcW w:w="3178" w:type="dxa"/>
            <w:shd w:val="clear" w:color="auto" w:fill="B3AA71"/>
            <w:vAlign w:val="center"/>
          </w:tcPr>
          <w:p w:rsidR="005E7E0C" w:rsidRPr="00C06741" w:rsidRDefault="005E7E0C" w:rsidP="008003AA">
            <w:pPr>
              <w:jc w:val="center"/>
              <w:rPr>
                <w:rFonts w:asciiTheme="majorHAnsi" w:hAnsiTheme="majorHAnsi"/>
                <w:b/>
              </w:rPr>
            </w:pPr>
            <w:r w:rsidRPr="00C06741">
              <w:rPr>
                <w:rFonts w:asciiTheme="majorHAnsi" w:hAnsiTheme="majorHAnsi"/>
                <w:b/>
              </w:rPr>
              <w:t>Concerns</w:t>
            </w:r>
          </w:p>
          <w:p w:rsidR="005E7E0C" w:rsidRPr="00C06741" w:rsidRDefault="005E7E0C" w:rsidP="008003AA">
            <w:pPr>
              <w:jc w:val="center"/>
              <w:rPr>
                <w:rFonts w:asciiTheme="majorHAnsi" w:hAnsiTheme="majorHAnsi"/>
                <w:i/>
              </w:rPr>
            </w:pPr>
            <w:r w:rsidRPr="00C06741">
              <w:rPr>
                <w:rFonts w:asciiTheme="majorHAnsi" w:hAnsiTheme="majorHAnsi"/>
                <w:i/>
              </w:rPr>
              <w:t>Areas that Need Work</w:t>
            </w:r>
          </w:p>
        </w:tc>
        <w:tc>
          <w:tcPr>
            <w:tcW w:w="3178" w:type="dxa"/>
            <w:shd w:val="clear" w:color="auto" w:fill="B3AA71"/>
            <w:vAlign w:val="center"/>
          </w:tcPr>
          <w:p w:rsidR="005E7E0C" w:rsidRPr="00C06741" w:rsidRDefault="005E7E0C" w:rsidP="007270AD">
            <w:pPr>
              <w:jc w:val="center"/>
              <w:rPr>
                <w:rFonts w:asciiTheme="majorHAnsi" w:hAnsiTheme="majorHAnsi"/>
                <w:b/>
              </w:rPr>
            </w:pPr>
            <w:r w:rsidRPr="00C06741">
              <w:rPr>
                <w:rFonts w:asciiTheme="majorHAnsi" w:hAnsiTheme="majorHAnsi"/>
                <w:b/>
              </w:rPr>
              <w:t>Criteria</w:t>
            </w:r>
          </w:p>
          <w:p w:rsidR="005E7E0C" w:rsidRPr="00C06741" w:rsidRDefault="005E7E0C" w:rsidP="007270AD">
            <w:pPr>
              <w:jc w:val="center"/>
              <w:rPr>
                <w:rFonts w:asciiTheme="majorHAnsi" w:hAnsiTheme="majorHAnsi"/>
                <w:i/>
              </w:rPr>
            </w:pPr>
            <w:r w:rsidRPr="00C06741">
              <w:rPr>
                <w:rFonts w:asciiTheme="majorHAnsi" w:hAnsiTheme="majorHAnsi"/>
                <w:i/>
              </w:rPr>
              <w:t>Standards for This Performance</w:t>
            </w:r>
          </w:p>
        </w:tc>
        <w:tc>
          <w:tcPr>
            <w:tcW w:w="3179" w:type="dxa"/>
            <w:shd w:val="clear" w:color="auto" w:fill="B3AA71"/>
            <w:vAlign w:val="center"/>
          </w:tcPr>
          <w:p w:rsidR="005E7E0C" w:rsidRPr="00C06741" w:rsidRDefault="005E7E0C" w:rsidP="008003AA">
            <w:pPr>
              <w:jc w:val="center"/>
              <w:rPr>
                <w:rFonts w:asciiTheme="majorHAnsi" w:hAnsiTheme="majorHAnsi"/>
                <w:b/>
              </w:rPr>
            </w:pPr>
            <w:r w:rsidRPr="00C06741">
              <w:rPr>
                <w:rFonts w:asciiTheme="majorHAnsi" w:hAnsiTheme="majorHAnsi"/>
                <w:b/>
              </w:rPr>
              <w:t>Advanced</w:t>
            </w:r>
          </w:p>
          <w:p w:rsidR="005E7E0C" w:rsidRPr="00C06741" w:rsidRDefault="005E7E0C" w:rsidP="005E7E0C">
            <w:pPr>
              <w:jc w:val="center"/>
              <w:rPr>
                <w:rFonts w:asciiTheme="majorHAnsi" w:hAnsiTheme="majorHAnsi"/>
                <w:i/>
              </w:rPr>
            </w:pPr>
            <w:r w:rsidRPr="00C06741">
              <w:rPr>
                <w:rFonts w:asciiTheme="majorHAnsi" w:hAnsiTheme="majorHAnsi"/>
                <w:i/>
              </w:rPr>
              <w:t xml:space="preserve">Evidence of </w:t>
            </w:r>
            <w:r w:rsidR="00C60E37" w:rsidRPr="00C06741">
              <w:rPr>
                <w:rFonts w:asciiTheme="majorHAnsi" w:hAnsiTheme="majorHAnsi"/>
                <w:i/>
              </w:rPr>
              <w:t>Exceeding Standards</w:t>
            </w:r>
          </w:p>
        </w:tc>
      </w:tr>
      <w:tr w:rsidR="005E7E0C" w:rsidRPr="00C06741" w:rsidTr="00C06741">
        <w:tc>
          <w:tcPr>
            <w:tcW w:w="3178" w:type="dxa"/>
          </w:tcPr>
          <w:p w:rsidR="005E7E0C" w:rsidRPr="00C06741" w:rsidRDefault="005E7E0C">
            <w:pPr>
              <w:rPr>
                <w:rFonts w:asciiTheme="majorHAnsi" w:hAnsiTheme="majorHAnsi"/>
              </w:rPr>
            </w:pPr>
          </w:p>
        </w:tc>
        <w:tc>
          <w:tcPr>
            <w:tcW w:w="3178" w:type="dxa"/>
            <w:shd w:val="clear" w:color="auto" w:fill="D9D9D9" w:themeFill="background1" w:themeFillShade="D9"/>
          </w:tcPr>
          <w:p w:rsidR="005E7E0C" w:rsidRPr="00C06741" w:rsidRDefault="005E7E0C">
            <w:pPr>
              <w:rPr>
                <w:rFonts w:asciiTheme="majorHAnsi" w:hAnsiTheme="majorHAnsi"/>
                <w:b/>
              </w:rPr>
            </w:pPr>
            <w:r w:rsidRPr="00C06741">
              <w:rPr>
                <w:rFonts w:asciiTheme="majorHAnsi" w:hAnsiTheme="majorHAnsi"/>
                <w:b/>
              </w:rPr>
              <w:t>Criteria #1:</w:t>
            </w:r>
          </w:p>
          <w:p w:rsidR="005E7E0C" w:rsidRPr="00C06741" w:rsidRDefault="005E7E0C">
            <w:pPr>
              <w:rPr>
                <w:rFonts w:asciiTheme="majorHAnsi" w:hAnsiTheme="majorHAnsi"/>
              </w:rPr>
            </w:pPr>
            <w:r w:rsidRPr="00C06741">
              <w:rPr>
                <w:rFonts w:asciiTheme="majorHAnsi" w:hAnsiTheme="majorHAnsi"/>
              </w:rPr>
              <w:t>Description reflecting achievement of mastery level of performance</w:t>
            </w:r>
          </w:p>
        </w:tc>
        <w:tc>
          <w:tcPr>
            <w:tcW w:w="3179" w:type="dxa"/>
          </w:tcPr>
          <w:p w:rsidR="005E7E0C" w:rsidRPr="00C06741" w:rsidRDefault="005E7E0C">
            <w:pPr>
              <w:rPr>
                <w:rFonts w:asciiTheme="majorHAnsi" w:hAnsiTheme="majorHAnsi"/>
              </w:rPr>
            </w:pPr>
          </w:p>
        </w:tc>
      </w:tr>
      <w:tr w:rsidR="005E7E0C" w:rsidRPr="00C06741" w:rsidTr="00C06741">
        <w:tc>
          <w:tcPr>
            <w:tcW w:w="3178" w:type="dxa"/>
          </w:tcPr>
          <w:p w:rsidR="005E7E0C" w:rsidRPr="00C06741" w:rsidRDefault="005E7E0C">
            <w:pPr>
              <w:rPr>
                <w:rFonts w:asciiTheme="majorHAnsi" w:hAnsiTheme="majorHAnsi"/>
              </w:rPr>
            </w:pPr>
          </w:p>
        </w:tc>
        <w:tc>
          <w:tcPr>
            <w:tcW w:w="3178" w:type="dxa"/>
            <w:shd w:val="clear" w:color="auto" w:fill="D9D9D9" w:themeFill="background1" w:themeFillShade="D9"/>
          </w:tcPr>
          <w:p w:rsidR="005E7E0C" w:rsidRPr="00C06741" w:rsidRDefault="005E7E0C">
            <w:pPr>
              <w:rPr>
                <w:rFonts w:asciiTheme="majorHAnsi" w:hAnsiTheme="majorHAnsi"/>
                <w:b/>
              </w:rPr>
            </w:pPr>
            <w:r w:rsidRPr="00C06741">
              <w:rPr>
                <w:rFonts w:asciiTheme="majorHAnsi" w:hAnsiTheme="majorHAnsi"/>
                <w:b/>
              </w:rPr>
              <w:t>Criteria #2:</w:t>
            </w:r>
          </w:p>
          <w:p w:rsidR="005E7E0C" w:rsidRPr="00C06741" w:rsidRDefault="005E7E0C">
            <w:pPr>
              <w:rPr>
                <w:rFonts w:asciiTheme="majorHAnsi" w:hAnsiTheme="majorHAnsi"/>
              </w:rPr>
            </w:pPr>
            <w:r w:rsidRPr="00C06741">
              <w:rPr>
                <w:rFonts w:asciiTheme="majorHAnsi" w:hAnsiTheme="majorHAnsi"/>
              </w:rPr>
              <w:t>Description reflecting achievement of mastery level of performance</w:t>
            </w:r>
          </w:p>
        </w:tc>
        <w:tc>
          <w:tcPr>
            <w:tcW w:w="3179" w:type="dxa"/>
          </w:tcPr>
          <w:p w:rsidR="005E7E0C" w:rsidRPr="00C06741" w:rsidRDefault="005E7E0C">
            <w:pPr>
              <w:rPr>
                <w:rFonts w:asciiTheme="majorHAnsi" w:hAnsiTheme="majorHAnsi"/>
              </w:rPr>
            </w:pPr>
          </w:p>
        </w:tc>
      </w:tr>
      <w:tr w:rsidR="005E7E0C" w:rsidRPr="00C06741" w:rsidTr="00C06741">
        <w:tc>
          <w:tcPr>
            <w:tcW w:w="3178" w:type="dxa"/>
          </w:tcPr>
          <w:p w:rsidR="005E7E0C" w:rsidRPr="00C06741" w:rsidRDefault="005E7E0C">
            <w:pPr>
              <w:rPr>
                <w:rFonts w:asciiTheme="majorHAnsi" w:hAnsiTheme="majorHAnsi"/>
              </w:rPr>
            </w:pPr>
          </w:p>
        </w:tc>
        <w:tc>
          <w:tcPr>
            <w:tcW w:w="3178" w:type="dxa"/>
            <w:shd w:val="clear" w:color="auto" w:fill="D9D9D9" w:themeFill="background1" w:themeFillShade="D9"/>
          </w:tcPr>
          <w:p w:rsidR="005E7E0C" w:rsidRPr="00C06741" w:rsidRDefault="005E7E0C" w:rsidP="00A93B90">
            <w:pPr>
              <w:rPr>
                <w:rFonts w:asciiTheme="majorHAnsi" w:hAnsiTheme="majorHAnsi"/>
                <w:b/>
              </w:rPr>
            </w:pPr>
            <w:r w:rsidRPr="00C06741">
              <w:rPr>
                <w:rFonts w:asciiTheme="majorHAnsi" w:hAnsiTheme="majorHAnsi"/>
                <w:b/>
              </w:rPr>
              <w:t>Criteria #3:</w:t>
            </w:r>
          </w:p>
          <w:p w:rsidR="005E7E0C" w:rsidRPr="00C06741" w:rsidRDefault="005E7E0C" w:rsidP="00A93B90">
            <w:pPr>
              <w:rPr>
                <w:rFonts w:asciiTheme="majorHAnsi" w:hAnsiTheme="majorHAnsi"/>
              </w:rPr>
            </w:pPr>
            <w:r w:rsidRPr="00C06741">
              <w:rPr>
                <w:rFonts w:asciiTheme="majorHAnsi" w:hAnsiTheme="majorHAnsi"/>
              </w:rPr>
              <w:t>Description reflecting achievement of mastery level of performance</w:t>
            </w:r>
          </w:p>
        </w:tc>
        <w:tc>
          <w:tcPr>
            <w:tcW w:w="3179" w:type="dxa"/>
          </w:tcPr>
          <w:p w:rsidR="005E7E0C" w:rsidRPr="00C06741" w:rsidRDefault="005E7E0C">
            <w:pPr>
              <w:rPr>
                <w:rFonts w:asciiTheme="majorHAnsi" w:hAnsiTheme="majorHAnsi"/>
              </w:rPr>
            </w:pPr>
          </w:p>
        </w:tc>
      </w:tr>
      <w:tr w:rsidR="005E7E0C" w:rsidRPr="00C06741" w:rsidTr="00C06741">
        <w:tc>
          <w:tcPr>
            <w:tcW w:w="3178" w:type="dxa"/>
          </w:tcPr>
          <w:p w:rsidR="005E7E0C" w:rsidRPr="00C06741" w:rsidRDefault="005E7E0C">
            <w:pPr>
              <w:rPr>
                <w:rFonts w:asciiTheme="majorHAnsi" w:hAnsiTheme="majorHAnsi"/>
              </w:rPr>
            </w:pPr>
          </w:p>
        </w:tc>
        <w:tc>
          <w:tcPr>
            <w:tcW w:w="3178" w:type="dxa"/>
            <w:shd w:val="clear" w:color="auto" w:fill="D9D9D9" w:themeFill="background1" w:themeFillShade="D9"/>
          </w:tcPr>
          <w:p w:rsidR="005E7E0C" w:rsidRPr="00C06741" w:rsidRDefault="005E7E0C" w:rsidP="00A93B90">
            <w:pPr>
              <w:rPr>
                <w:rFonts w:asciiTheme="majorHAnsi" w:hAnsiTheme="majorHAnsi"/>
                <w:b/>
              </w:rPr>
            </w:pPr>
            <w:r w:rsidRPr="00C06741">
              <w:rPr>
                <w:rFonts w:asciiTheme="majorHAnsi" w:hAnsiTheme="majorHAnsi"/>
                <w:b/>
              </w:rPr>
              <w:t>Criteria #4:</w:t>
            </w:r>
          </w:p>
          <w:p w:rsidR="005E7E0C" w:rsidRPr="00C06741" w:rsidRDefault="005E7E0C" w:rsidP="00A93B90">
            <w:pPr>
              <w:rPr>
                <w:rFonts w:asciiTheme="majorHAnsi" w:hAnsiTheme="majorHAnsi"/>
              </w:rPr>
            </w:pPr>
            <w:r w:rsidRPr="00C06741">
              <w:rPr>
                <w:rFonts w:asciiTheme="majorHAnsi" w:hAnsiTheme="majorHAnsi"/>
              </w:rPr>
              <w:t>Description reflecting achievement of mastery level of performance</w:t>
            </w:r>
          </w:p>
        </w:tc>
        <w:tc>
          <w:tcPr>
            <w:tcW w:w="3179" w:type="dxa"/>
          </w:tcPr>
          <w:p w:rsidR="005E7E0C" w:rsidRPr="00C06741" w:rsidRDefault="005E7E0C">
            <w:pPr>
              <w:rPr>
                <w:rFonts w:asciiTheme="majorHAnsi" w:hAnsiTheme="majorHAnsi"/>
              </w:rPr>
            </w:pPr>
          </w:p>
        </w:tc>
      </w:tr>
      <w:tr w:rsidR="0053258A" w:rsidRPr="0053258A" w:rsidTr="0053258A">
        <w:tc>
          <w:tcPr>
            <w:tcW w:w="3178" w:type="dxa"/>
            <w:shd w:val="clear" w:color="auto" w:fill="auto"/>
          </w:tcPr>
          <w:p w:rsidR="0053258A" w:rsidRPr="0053258A" w:rsidRDefault="0053258A" w:rsidP="0053258A">
            <w:pPr>
              <w:jc w:val="center"/>
              <w:rPr>
                <w:rFonts w:asciiTheme="majorHAnsi" w:hAnsiTheme="majorHAnsi"/>
                <w:b/>
              </w:rPr>
            </w:pPr>
            <w:r w:rsidRPr="0053258A">
              <w:rPr>
                <w:rFonts w:asciiTheme="majorHAnsi" w:hAnsiTheme="majorHAnsi"/>
                <w:b/>
              </w:rPr>
              <w:t>0-8</w:t>
            </w:r>
            <w:r>
              <w:rPr>
                <w:rFonts w:asciiTheme="majorHAnsi" w:hAnsiTheme="majorHAnsi"/>
                <w:b/>
              </w:rPr>
              <w:t>0</w:t>
            </w:r>
            <w:r w:rsidRPr="0053258A">
              <w:rPr>
                <w:rFonts w:asciiTheme="majorHAnsi" w:hAnsiTheme="majorHAnsi"/>
                <w:b/>
              </w:rPr>
              <w:t>points</w:t>
            </w:r>
          </w:p>
        </w:tc>
        <w:tc>
          <w:tcPr>
            <w:tcW w:w="3178" w:type="dxa"/>
            <w:shd w:val="clear" w:color="auto" w:fill="auto"/>
          </w:tcPr>
          <w:p w:rsidR="0053258A" w:rsidRPr="0053258A" w:rsidRDefault="0053258A" w:rsidP="0053258A">
            <w:pPr>
              <w:jc w:val="center"/>
              <w:rPr>
                <w:rFonts w:asciiTheme="majorHAnsi" w:hAnsiTheme="majorHAnsi"/>
                <w:b/>
              </w:rPr>
            </w:pPr>
            <w:r w:rsidRPr="0053258A">
              <w:rPr>
                <w:rFonts w:asciiTheme="majorHAnsi" w:hAnsiTheme="majorHAnsi"/>
                <w:b/>
              </w:rPr>
              <w:t>8</w:t>
            </w:r>
            <w:r>
              <w:rPr>
                <w:rFonts w:asciiTheme="majorHAnsi" w:hAnsiTheme="majorHAnsi"/>
                <w:b/>
              </w:rPr>
              <w:t>0</w:t>
            </w:r>
            <w:r w:rsidRPr="0053258A">
              <w:rPr>
                <w:rFonts w:asciiTheme="majorHAnsi" w:hAnsiTheme="majorHAnsi"/>
                <w:b/>
              </w:rPr>
              <w:t>-95 points</w:t>
            </w:r>
          </w:p>
        </w:tc>
        <w:tc>
          <w:tcPr>
            <w:tcW w:w="3179" w:type="dxa"/>
            <w:shd w:val="clear" w:color="auto" w:fill="auto"/>
          </w:tcPr>
          <w:p w:rsidR="0053258A" w:rsidRPr="0053258A" w:rsidRDefault="0053258A" w:rsidP="0053258A">
            <w:pPr>
              <w:jc w:val="center"/>
              <w:rPr>
                <w:rFonts w:asciiTheme="majorHAnsi" w:hAnsiTheme="majorHAnsi"/>
                <w:b/>
              </w:rPr>
            </w:pPr>
            <w:r w:rsidRPr="0053258A">
              <w:rPr>
                <w:rFonts w:asciiTheme="majorHAnsi" w:hAnsiTheme="majorHAnsi"/>
                <w:b/>
              </w:rPr>
              <w:t>95-100 points</w:t>
            </w:r>
          </w:p>
        </w:tc>
      </w:tr>
    </w:tbl>
    <w:p w:rsidR="008003AA" w:rsidRDefault="008003AA"/>
    <w:p w:rsidR="0053258A" w:rsidRDefault="0053258A"/>
    <w:p w:rsidR="00730D57" w:rsidRDefault="0053258A">
      <w:r w:rsidRPr="0053258A">
        <w:rPr>
          <w:b/>
          <w:sz w:val="20"/>
        </w:rPr>
        <w:t>Note</w:t>
      </w:r>
      <w:r w:rsidRPr="0053258A">
        <w:rPr>
          <w:sz w:val="20"/>
        </w:rPr>
        <w:t xml:space="preserve">: </w:t>
      </w:r>
      <w:r w:rsidRPr="0053258A">
        <w:rPr>
          <w:i/>
          <w:sz w:val="20"/>
        </w:rPr>
        <w:t>The bottom row is optional.</w:t>
      </w:r>
      <w:r w:rsidRPr="0053258A">
        <w:rPr>
          <w:sz w:val="20"/>
        </w:rPr>
        <w:t xml:space="preserve"> If you use the single-point rubric to assign a grade, you can also convert general descriptors into a point range. Using this template, if a student received an excessive number of comments in the left category, their score would fall lower in the 0-8</w:t>
      </w:r>
      <w:r>
        <w:rPr>
          <w:sz w:val="20"/>
        </w:rPr>
        <w:t>0</w:t>
      </w:r>
      <w:r w:rsidRPr="0053258A">
        <w:rPr>
          <w:sz w:val="20"/>
        </w:rPr>
        <w:t xml:space="preserve"> point range. If they mostly met the targeted criteria, their score would fall somewhere </w:t>
      </w:r>
      <w:r>
        <w:rPr>
          <w:sz w:val="20"/>
        </w:rPr>
        <w:t>between 80 and 95 points. And if they achieved most of the targeted areas but also exceeded them in some ways, their score would fall between 95 and 100 points.</w:t>
      </w:r>
    </w:p>
    <w:p w:rsidR="006E4E88" w:rsidRDefault="006E4E88"/>
    <w:p w:rsidR="00C64B83" w:rsidRDefault="00C64B83">
      <w:pPr>
        <w:rPr>
          <w:b/>
          <w:sz w:val="18"/>
        </w:rPr>
      </w:pPr>
    </w:p>
    <w:p w:rsidR="00FC5086" w:rsidRDefault="00FC5086">
      <w:pPr>
        <w:rPr>
          <w:b/>
          <w:sz w:val="18"/>
        </w:rPr>
      </w:pPr>
    </w:p>
    <w:p w:rsidR="005228B8" w:rsidRDefault="005228B8">
      <w:pPr>
        <w:rPr>
          <w:b/>
          <w:sz w:val="18"/>
        </w:rPr>
      </w:pPr>
    </w:p>
    <w:p w:rsidR="005228B8" w:rsidRDefault="005228B8">
      <w:pPr>
        <w:rPr>
          <w:b/>
          <w:sz w:val="18"/>
        </w:rPr>
      </w:pPr>
    </w:p>
    <w:p w:rsidR="005228B8" w:rsidRDefault="005228B8">
      <w:pPr>
        <w:rPr>
          <w:b/>
          <w:sz w:val="18"/>
        </w:rPr>
      </w:pPr>
    </w:p>
    <w:p w:rsidR="00730D57" w:rsidRPr="00C06741" w:rsidRDefault="00E26D3C">
      <w:pPr>
        <w:rPr>
          <w:rFonts w:asciiTheme="majorHAnsi" w:hAnsiTheme="majorHAnsi"/>
          <w:sz w:val="18"/>
          <w:szCs w:val="18"/>
        </w:rPr>
      </w:pPr>
      <w:r w:rsidRPr="00C06741">
        <w:rPr>
          <w:rFonts w:asciiTheme="majorHAnsi" w:hAnsiTheme="majorHAnsi"/>
          <w:b/>
          <w:sz w:val="18"/>
          <w:szCs w:val="18"/>
        </w:rPr>
        <w:t>Source</w:t>
      </w:r>
      <w:r w:rsidR="00033FF3" w:rsidRPr="00C06741">
        <w:rPr>
          <w:rFonts w:asciiTheme="majorHAnsi" w:hAnsiTheme="majorHAnsi"/>
          <w:b/>
          <w:sz w:val="18"/>
          <w:szCs w:val="18"/>
        </w:rPr>
        <w:t>s</w:t>
      </w:r>
      <w:r w:rsidRPr="00C06741">
        <w:rPr>
          <w:rFonts w:asciiTheme="majorHAnsi" w:hAnsiTheme="majorHAnsi"/>
          <w:sz w:val="18"/>
          <w:szCs w:val="18"/>
        </w:rPr>
        <w:t>:</w:t>
      </w:r>
    </w:p>
    <w:p w:rsidR="006E4E88" w:rsidRPr="00C06741" w:rsidRDefault="006E4E88">
      <w:pPr>
        <w:rPr>
          <w:sz w:val="18"/>
          <w:szCs w:val="18"/>
        </w:rPr>
      </w:pPr>
    </w:p>
    <w:p w:rsidR="00033FF3" w:rsidRPr="00C06741" w:rsidRDefault="00033FF3" w:rsidP="00033FF3">
      <w:pPr>
        <w:ind w:left="720" w:hanging="720"/>
        <w:rPr>
          <w:rFonts w:asciiTheme="majorHAnsi" w:hAnsiTheme="majorHAnsi"/>
          <w:sz w:val="18"/>
          <w:szCs w:val="18"/>
        </w:rPr>
      </w:pPr>
      <w:r w:rsidRPr="00C06741">
        <w:rPr>
          <w:rFonts w:asciiTheme="majorHAnsi" w:hAnsiTheme="majorHAnsi" w:cs="Arial"/>
          <w:color w:val="000000"/>
          <w:sz w:val="18"/>
          <w:szCs w:val="18"/>
          <w:shd w:val="clear" w:color="auto" w:fill="FFFFFF"/>
        </w:rPr>
        <w:t>Fluckiger, J</w:t>
      </w:r>
      <w:r w:rsidR="006F077A">
        <w:rPr>
          <w:rFonts w:asciiTheme="majorHAnsi" w:hAnsiTheme="majorHAnsi" w:cs="Arial"/>
          <w:color w:val="000000"/>
          <w:sz w:val="18"/>
          <w:szCs w:val="18"/>
          <w:shd w:val="clear" w:color="auto" w:fill="FFFFFF"/>
        </w:rPr>
        <w:t>.</w:t>
      </w:r>
      <w:r w:rsidRPr="00C06741">
        <w:rPr>
          <w:rFonts w:asciiTheme="majorHAnsi" w:hAnsiTheme="majorHAnsi" w:cs="Arial"/>
          <w:color w:val="000000"/>
          <w:sz w:val="18"/>
          <w:szCs w:val="18"/>
          <w:shd w:val="clear" w:color="auto" w:fill="FFFFFF"/>
        </w:rPr>
        <w:t xml:space="preserve"> </w:t>
      </w:r>
      <w:r w:rsidR="006F077A">
        <w:rPr>
          <w:rFonts w:asciiTheme="majorHAnsi" w:hAnsiTheme="majorHAnsi" w:cs="Arial"/>
          <w:color w:val="000000"/>
          <w:sz w:val="18"/>
          <w:szCs w:val="18"/>
          <w:shd w:val="clear" w:color="auto" w:fill="FFFFFF"/>
        </w:rPr>
        <w:t>(2010). Single point rubric: A tool for r</w:t>
      </w:r>
      <w:r w:rsidRPr="00C06741">
        <w:rPr>
          <w:rFonts w:asciiTheme="majorHAnsi" w:hAnsiTheme="majorHAnsi" w:cs="Arial"/>
          <w:color w:val="000000"/>
          <w:sz w:val="18"/>
          <w:szCs w:val="18"/>
          <w:shd w:val="clear" w:color="auto" w:fill="FFFFFF"/>
        </w:rPr>
        <w:t>esp</w:t>
      </w:r>
      <w:r w:rsidR="006F077A">
        <w:rPr>
          <w:rFonts w:asciiTheme="majorHAnsi" w:hAnsiTheme="majorHAnsi" w:cs="Arial"/>
          <w:color w:val="000000"/>
          <w:sz w:val="18"/>
          <w:szCs w:val="18"/>
          <w:shd w:val="clear" w:color="auto" w:fill="FFFFFF"/>
        </w:rPr>
        <w:t>onsible student self-assessment</w:t>
      </w:r>
      <w:r w:rsidRPr="00C06741">
        <w:rPr>
          <w:rFonts w:asciiTheme="majorHAnsi" w:hAnsiTheme="majorHAnsi" w:cs="Arial"/>
          <w:color w:val="000000"/>
          <w:sz w:val="18"/>
          <w:szCs w:val="18"/>
          <w:shd w:val="clear" w:color="auto" w:fill="FFFFFF"/>
        </w:rPr>
        <w:t>.</w:t>
      </w:r>
      <w:r w:rsidR="006F077A">
        <w:rPr>
          <w:rFonts w:asciiTheme="majorHAnsi" w:hAnsiTheme="majorHAnsi" w:cs="Arial"/>
          <w:color w:val="000000"/>
          <w:sz w:val="18"/>
          <w:szCs w:val="18"/>
          <w:shd w:val="clear" w:color="auto" w:fill="FFFFFF"/>
        </w:rPr>
        <w:t xml:space="preserve"> </w:t>
      </w:r>
      <w:r w:rsidRPr="00C06741">
        <w:rPr>
          <w:rStyle w:val="Emphasis"/>
          <w:rFonts w:asciiTheme="majorHAnsi" w:hAnsiTheme="majorHAnsi" w:cs="Arial"/>
          <w:color w:val="000000"/>
          <w:sz w:val="18"/>
          <w:szCs w:val="18"/>
          <w:bdr w:val="none" w:sz="0" w:space="0" w:color="auto" w:frame="1"/>
          <w:shd w:val="clear" w:color="auto" w:fill="FFFFFF"/>
        </w:rPr>
        <w:t>Teacher Education Faculty Publications.</w:t>
      </w:r>
      <w:r w:rsidRPr="00C06741">
        <w:rPr>
          <w:rStyle w:val="apple-converted-space"/>
          <w:rFonts w:asciiTheme="majorHAnsi" w:hAnsiTheme="majorHAnsi" w:cs="Arial"/>
          <w:color w:val="000000"/>
          <w:sz w:val="18"/>
          <w:szCs w:val="18"/>
          <w:shd w:val="clear" w:color="auto" w:fill="FFFFFF"/>
        </w:rPr>
        <w:t> </w:t>
      </w:r>
      <w:r w:rsidRPr="00C06741">
        <w:rPr>
          <w:rFonts w:asciiTheme="majorHAnsi" w:hAnsiTheme="majorHAnsi" w:cs="Arial"/>
          <w:color w:val="000000"/>
          <w:sz w:val="18"/>
          <w:szCs w:val="18"/>
          <w:shd w:val="clear" w:color="auto" w:fill="FFFFFF"/>
        </w:rPr>
        <w:t xml:space="preserve">Paper 5. Retrieved April 25, 2014 from </w:t>
      </w:r>
      <w:hyperlink r:id="rId7" w:history="1">
        <w:r w:rsidRPr="00C06741">
          <w:rPr>
            <w:rStyle w:val="Hyperlink"/>
            <w:rFonts w:asciiTheme="majorHAnsi" w:hAnsiTheme="majorHAnsi" w:cs="Arial"/>
            <w:sz w:val="18"/>
            <w:szCs w:val="18"/>
            <w:shd w:val="clear" w:color="auto" w:fill="FFFFFF"/>
          </w:rPr>
          <w:t>http://digitalcommons.unomaha.edu/tedfacpub/5</w:t>
        </w:r>
      </w:hyperlink>
      <w:r w:rsidRPr="00C06741">
        <w:rPr>
          <w:rFonts w:asciiTheme="majorHAnsi" w:hAnsiTheme="majorHAnsi" w:cs="Arial"/>
          <w:color w:val="000000"/>
          <w:sz w:val="18"/>
          <w:szCs w:val="18"/>
          <w:shd w:val="clear" w:color="auto" w:fill="FFFFFF"/>
        </w:rPr>
        <w:t xml:space="preserve">. </w:t>
      </w:r>
    </w:p>
    <w:p w:rsidR="00033FF3" w:rsidRPr="00C06741" w:rsidRDefault="00033FF3" w:rsidP="00033FF3">
      <w:pPr>
        <w:ind w:left="720" w:hanging="720"/>
        <w:rPr>
          <w:rFonts w:asciiTheme="majorHAnsi" w:hAnsiTheme="majorHAnsi"/>
          <w:sz w:val="18"/>
          <w:szCs w:val="18"/>
        </w:rPr>
      </w:pPr>
    </w:p>
    <w:p w:rsidR="00E26D3C" w:rsidRPr="00C06741" w:rsidRDefault="00033FF3" w:rsidP="00033FF3">
      <w:pPr>
        <w:ind w:left="720" w:hanging="720"/>
        <w:rPr>
          <w:rFonts w:asciiTheme="majorHAnsi" w:hAnsiTheme="majorHAnsi"/>
          <w:sz w:val="18"/>
          <w:szCs w:val="18"/>
        </w:rPr>
      </w:pPr>
      <w:r w:rsidRPr="00C06741">
        <w:rPr>
          <w:rFonts w:asciiTheme="majorHAnsi" w:hAnsiTheme="majorHAnsi"/>
          <w:sz w:val="18"/>
          <w:szCs w:val="18"/>
        </w:rPr>
        <w:t>Mertler, C.</w:t>
      </w:r>
      <w:r w:rsidR="00E26D3C" w:rsidRPr="00C06741">
        <w:rPr>
          <w:rFonts w:asciiTheme="majorHAnsi" w:hAnsiTheme="majorHAnsi"/>
          <w:sz w:val="18"/>
          <w:szCs w:val="18"/>
        </w:rPr>
        <w:t xml:space="preserve"> A. (2001). Designing scoring rubrics for your classroom. </w:t>
      </w:r>
      <w:r w:rsidR="00E26D3C" w:rsidRPr="00C06741">
        <w:rPr>
          <w:rFonts w:asciiTheme="majorHAnsi" w:hAnsiTheme="majorHAnsi"/>
          <w:i/>
          <w:sz w:val="18"/>
          <w:szCs w:val="18"/>
        </w:rPr>
        <w:t>Practical Assessment, Research &amp; Evaluation</w:t>
      </w:r>
      <w:r w:rsidR="00E26D3C" w:rsidRPr="00C06741">
        <w:rPr>
          <w:rFonts w:asciiTheme="majorHAnsi" w:hAnsiTheme="majorHAnsi"/>
          <w:sz w:val="18"/>
          <w:szCs w:val="18"/>
        </w:rPr>
        <w:t xml:space="preserve">, 7(25). Retrieved April 30, 2014 from </w:t>
      </w:r>
      <w:hyperlink r:id="rId8" w:history="1">
        <w:r w:rsidR="00E26D3C" w:rsidRPr="00C06741">
          <w:rPr>
            <w:rStyle w:val="Hyperlink"/>
            <w:rFonts w:asciiTheme="majorHAnsi" w:hAnsiTheme="majorHAnsi"/>
            <w:sz w:val="18"/>
            <w:szCs w:val="18"/>
          </w:rPr>
          <w:t>http://PAREonline.net/getvn.asp?v=7&amp;n=25</w:t>
        </w:r>
      </w:hyperlink>
      <w:r w:rsidR="00E26D3C" w:rsidRPr="00C06741">
        <w:rPr>
          <w:rFonts w:asciiTheme="majorHAnsi" w:hAnsiTheme="majorHAnsi"/>
          <w:sz w:val="18"/>
          <w:szCs w:val="18"/>
        </w:rPr>
        <w:t xml:space="preserve">. </w:t>
      </w:r>
    </w:p>
    <w:sectPr w:rsidR="00E26D3C" w:rsidRPr="00C0674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E41" w:rsidRDefault="00266E41" w:rsidP="00730D57">
      <w:r>
        <w:separator/>
      </w:r>
    </w:p>
  </w:endnote>
  <w:endnote w:type="continuationSeparator" w:id="0">
    <w:p w:rsidR="00266E41" w:rsidRDefault="00266E41" w:rsidP="00730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onsola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D57" w:rsidRPr="00BE7775" w:rsidRDefault="00730D57" w:rsidP="00C64B83">
    <w:pPr>
      <w:pStyle w:val="Footer"/>
      <w:pBdr>
        <w:top w:val="single" w:sz="4" w:space="3" w:color="auto"/>
      </w:pBdr>
      <w:rPr>
        <w:rFonts w:asciiTheme="majorHAnsi" w:hAnsiTheme="majorHAnsi"/>
        <w:sz w:val="18"/>
      </w:rPr>
    </w:pPr>
    <w:r w:rsidRPr="00BE7775">
      <w:rPr>
        <w:rFonts w:asciiTheme="majorHAnsi" w:hAnsiTheme="majorHAnsi"/>
        <w:sz w:val="18"/>
      </w:rPr>
      <w:tab/>
      <w:t>Design Copyright 2014 by Cult of Pedagogy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E41" w:rsidRDefault="00266E41" w:rsidP="00730D57">
      <w:r>
        <w:separator/>
      </w:r>
    </w:p>
  </w:footnote>
  <w:footnote w:type="continuationSeparator" w:id="0">
    <w:p w:rsidR="00266E41" w:rsidRDefault="00266E41" w:rsidP="00730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E8"/>
    <w:rsid w:val="00033FF3"/>
    <w:rsid w:val="000D0A3E"/>
    <w:rsid w:val="002004F7"/>
    <w:rsid w:val="00201C35"/>
    <w:rsid w:val="00266E41"/>
    <w:rsid w:val="002A5ADE"/>
    <w:rsid w:val="002E3189"/>
    <w:rsid w:val="003753CA"/>
    <w:rsid w:val="003963FA"/>
    <w:rsid w:val="0047075D"/>
    <w:rsid w:val="005228B8"/>
    <w:rsid w:val="0053258A"/>
    <w:rsid w:val="00552EA8"/>
    <w:rsid w:val="005E7E0C"/>
    <w:rsid w:val="006E4E88"/>
    <w:rsid w:val="006F077A"/>
    <w:rsid w:val="007270AD"/>
    <w:rsid w:val="00730D57"/>
    <w:rsid w:val="008003AA"/>
    <w:rsid w:val="008670DD"/>
    <w:rsid w:val="008E0697"/>
    <w:rsid w:val="00A27421"/>
    <w:rsid w:val="00A93B90"/>
    <w:rsid w:val="00B0587C"/>
    <w:rsid w:val="00B835C2"/>
    <w:rsid w:val="00BE7775"/>
    <w:rsid w:val="00C06741"/>
    <w:rsid w:val="00C25973"/>
    <w:rsid w:val="00C60E37"/>
    <w:rsid w:val="00C64B83"/>
    <w:rsid w:val="00CC27E8"/>
    <w:rsid w:val="00CD3EBD"/>
    <w:rsid w:val="00CF6A2F"/>
    <w:rsid w:val="00DB1890"/>
    <w:rsid w:val="00E26D3C"/>
    <w:rsid w:val="00E315DB"/>
    <w:rsid w:val="00FC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0D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D57"/>
  </w:style>
  <w:style w:type="paragraph" w:styleId="Footer">
    <w:name w:val="footer"/>
    <w:basedOn w:val="Normal"/>
    <w:link w:val="FooterChar"/>
    <w:uiPriority w:val="99"/>
    <w:unhideWhenUsed/>
    <w:rsid w:val="00730D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D57"/>
  </w:style>
  <w:style w:type="character" w:customStyle="1" w:styleId="apple-converted-space">
    <w:name w:val="apple-converted-space"/>
    <w:basedOn w:val="DefaultParagraphFont"/>
    <w:rsid w:val="00E26D3C"/>
  </w:style>
  <w:style w:type="character" w:styleId="Hyperlink">
    <w:name w:val="Hyperlink"/>
    <w:basedOn w:val="DefaultParagraphFont"/>
    <w:uiPriority w:val="99"/>
    <w:unhideWhenUsed/>
    <w:rsid w:val="00E26D3C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33F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0D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D57"/>
  </w:style>
  <w:style w:type="paragraph" w:styleId="Footer">
    <w:name w:val="footer"/>
    <w:basedOn w:val="Normal"/>
    <w:link w:val="FooterChar"/>
    <w:uiPriority w:val="99"/>
    <w:unhideWhenUsed/>
    <w:rsid w:val="00730D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D57"/>
  </w:style>
  <w:style w:type="character" w:customStyle="1" w:styleId="apple-converted-space">
    <w:name w:val="apple-converted-space"/>
    <w:basedOn w:val="DefaultParagraphFont"/>
    <w:rsid w:val="00E26D3C"/>
  </w:style>
  <w:style w:type="character" w:styleId="Hyperlink">
    <w:name w:val="Hyperlink"/>
    <w:basedOn w:val="DefaultParagraphFont"/>
    <w:uiPriority w:val="99"/>
    <w:unhideWhenUsed/>
    <w:rsid w:val="00E26D3C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33F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Eonline.net/getvn.asp?v=7&amp;n=2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gitalcommons.unomaha.edu/tedfacpub/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Gonzalez</dc:creator>
  <cp:lastModifiedBy>Bolin, Melinda</cp:lastModifiedBy>
  <cp:revision>2</cp:revision>
  <dcterms:created xsi:type="dcterms:W3CDTF">2015-04-28T13:07:00Z</dcterms:created>
  <dcterms:modified xsi:type="dcterms:W3CDTF">2015-04-28T13:07:00Z</dcterms:modified>
</cp:coreProperties>
</file>